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bookmarkEnd w:id="0"/>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广州市促进商务高质量发展</w:t>
      </w:r>
    </w:p>
    <w:p>
      <w:pPr>
        <w:spacing w:line="560" w:lineRule="exact"/>
        <w:jc w:val="center"/>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专项资金管理办法</w:t>
      </w:r>
    </w:p>
    <w:p>
      <w:pPr>
        <w:jc w:val="center"/>
        <w:rPr>
          <w:rFonts w:ascii="楷体_GB2312" w:eastAsia="楷体_GB2312"/>
          <w:b/>
          <w:sz w:val="32"/>
          <w:szCs w:val="32"/>
          <w:shd w:val="clear" w:color="auto" w:fill="FFFFFF"/>
          <w:lang w:bidi="ar"/>
        </w:rPr>
      </w:pPr>
      <w:r>
        <w:rPr>
          <w:rFonts w:hint="eastAsia" w:ascii="楷体_GB2312" w:eastAsia="楷体_GB2312"/>
          <w:sz w:val="32"/>
          <w:szCs w:val="32"/>
          <w:shd w:val="clear" w:color="auto" w:fill="FFFFFF"/>
          <w:lang w:bidi="ar"/>
        </w:rPr>
        <w:t>（征求意见稿）</w:t>
      </w:r>
    </w:p>
    <w:p>
      <w:pPr>
        <w:pStyle w:val="3"/>
        <w:spacing w:before="0" w:after="0" w:line="960" w:lineRule="auto"/>
        <w:jc w:val="center"/>
        <w:rPr>
          <w:rFonts w:ascii="黑体" w:hAnsi="黑体" w:eastAsia="黑体"/>
          <w:b w:val="0"/>
          <w:sz w:val="32"/>
          <w:szCs w:val="32"/>
          <w:shd w:val="clear" w:color="auto" w:fill="FFFFFF"/>
          <w:lang w:bidi="ar"/>
        </w:rPr>
      </w:pPr>
      <w:r>
        <w:rPr>
          <w:rFonts w:hint="eastAsia" w:ascii="黑体" w:hAnsi="黑体" w:eastAsia="黑体"/>
          <w:b w:val="0"/>
          <w:sz w:val="32"/>
          <w:szCs w:val="32"/>
          <w:shd w:val="clear" w:color="auto" w:fill="FFFFFF"/>
          <w:lang w:bidi="ar"/>
        </w:rPr>
        <w:t>第一章 总  则</w:t>
      </w:r>
    </w:p>
    <w:p>
      <w:pPr>
        <w:widowControl/>
        <w:shd w:val="clear" w:color="auto" w:fill="FFFFFF"/>
        <w:spacing w:line="560" w:lineRule="exact"/>
        <w:rPr>
          <w:rFonts w:ascii="微软雅黑" w:hAnsi="微软雅黑" w:eastAsia="微软雅黑" w:cs="微软雅黑"/>
          <w:sz w:val="32"/>
          <w:szCs w:val="32"/>
        </w:rPr>
      </w:pPr>
      <w:r>
        <w:rPr>
          <w:rFonts w:hint="eastAsia" w:ascii="黑体" w:hAnsi="宋体" w:eastAsia="黑体" w:cs="黑体"/>
          <w:color w:val="333333"/>
          <w:kern w:val="0"/>
          <w:sz w:val="32"/>
          <w:szCs w:val="32"/>
          <w:shd w:val="clear" w:color="auto" w:fill="FFFFFF"/>
          <w:lang w:bidi="ar"/>
        </w:rPr>
        <w:t xml:space="preserve">   </w:t>
      </w:r>
      <w:r>
        <w:rPr>
          <w:rFonts w:hint="eastAsia" w:ascii="楷体_GB2312" w:hAnsi="仿宋_GB2312" w:eastAsia="楷体_GB2312" w:cs="仿宋_GB2312"/>
          <w:b/>
          <w:kern w:val="0"/>
          <w:sz w:val="32"/>
          <w:szCs w:val="32"/>
          <w:shd w:val="clear" w:color="auto" w:fill="FFFFFF"/>
          <w:lang w:bidi="ar"/>
        </w:rPr>
        <w:t>第一条（目的和依据）</w:t>
      </w:r>
      <w:r>
        <w:rPr>
          <w:rFonts w:hint="eastAsia" w:ascii="微软雅黑" w:hAnsi="微软雅黑" w:eastAsia="微软雅黑"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为统筹和规范广州市促进商务高质量发展专项资金管理，</w:t>
      </w:r>
      <w:r>
        <w:rPr>
          <w:rFonts w:hint="eastAsia" w:ascii="仿宋_GB2312" w:hAnsi="仿宋_GB2312" w:eastAsia="仿宋_GB2312" w:cs="仿宋_GB2312"/>
          <w:kern w:val="0"/>
          <w:sz w:val="32"/>
          <w:szCs w:val="32"/>
          <w:shd w:val="clear" w:color="auto" w:fill="FFFFFF"/>
          <w:lang w:eastAsia="zh-CN" w:bidi="ar"/>
        </w:rPr>
        <w:t>促进和</w:t>
      </w:r>
      <w:r>
        <w:rPr>
          <w:rFonts w:hint="eastAsia" w:ascii="仿宋_GB2312" w:hAnsi="仿宋_GB2312" w:eastAsia="仿宋_GB2312" w:cs="仿宋_GB2312"/>
          <w:kern w:val="0"/>
          <w:sz w:val="32"/>
          <w:szCs w:val="32"/>
          <w:shd w:val="clear" w:color="auto" w:fill="FFFFFF"/>
          <w:lang w:bidi="ar"/>
        </w:rPr>
        <w:t>支持商务领域产业和事业高质量发展，根据《中华人民共和国预算法》《广州市市级财政专项资金管理办法》（</w:t>
      </w:r>
      <w:r>
        <w:rPr>
          <w:rFonts w:hint="eastAsia" w:ascii="仿宋_GB2312" w:eastAsia="仿宋_GB2312"/>
          <w:color w:val="000000"/>
          <w:sz w:val="32"/>
          <w:szCs w:val="32"/>
        </w:rPr>
        <w:t>穗府办函〔2020〕12号）</w:t>
      </w:r>
      <w:r>
        <w:rPr>
          <w:rFonts w:hint="eastAsia" w:ascii="仿宋_GB2312" w:hAnsi="仿宋_GB2312" w:eastAsia="仿宋_GB2312" w:cs="仿宋_GB2312"/>
          <w:kern w:val="0"/>
          <w:sz w:val="32"/>
          <w:szCs w:val="32"/>
          <w:shd w:val="clear" w:color="auto" w:fill="FFFFFF"/>
          <w:lang w:bidi="ar"/>
        </w:rPr>
        <w:t>等相关法律法规规定，制定本办法。</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第二条（定义）</w:t>
      </w:r>
      <w:r>
        <w:rPr>
          <w:rFonts w:hint="eastAsia" w:ascii="仿宋_GB2312" w:hAnsi="仿宋_GB2312" w:eastAsia="仿宋_GB2312" w:cs="仿宋_GB2312"/>
          <w:b/>
          <w:kern w:val="0"/>
          <w:sz w:val="32"/>
          <w:szCs w:val="32"/>
          <w:shd w:val="clear" w:color="auto" w:fill="FFFFFF"/>
          <w:lang w:bidi="ar"/>
        </w:rPr>
        <w:t xml:space="preserve"> </w:t>
      </w:r>
      <w:r>
        <w:rPr>
          <w:rFonts w:hint="eastAsia" w:ascii="微软雅黑" w:hAnsi="微软雅黑" w:eastAsia="微软雅黑"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广州市促进商务高质量发展专项资金（以下简称“本专项资金”）是指市级财政安排，用于促进我市商务领域产业和事业发展，具有专门用途和绩效目标，需进行二次分配的财政专项资金。</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对纳入广州市商务部门预算的上级转移支付财政专项资金，按上级部门规定执行，无具体规定的，参照本办法执行。</w:t>
      </w:r>
    </w:p>
    <w:p>
      <w:pPr>
        <w:pStyle w:val="2"/>
        <w:widowControl/>
        <w:shd w:val="clear" w:color="auto" w:fill="FFFFFF"/>
        <w:spacing w:line="460" w:lineRule="exact"/>
        <w:ind w:left="0" w:leftChars="0" w:firstLine="560" w:firstLineChars="200"/>
        <w:rPr>
          <w:rFonts w:ascii="楷体_GB2312" w:hAnsi="仿宋_GB2312" w:eastAsia="楷体_GB2312" w:cs="仿宋_GB2312"/>
          <w:kern w:val="0"/>
          <w:sz w:val="28"/>
          <w:szCs w:val="28"/>
          <w:shd w:val="clear" w:color="auto" w:fill="FFFFFF"/>
          <w:lang w:bidi="ar"/>
        </w:rPr>
      </w:pPr>
      <w:r>
        <w:rPr>
          <w:rFonts w:hint="eastAsia" w:ascii="楷体_GB2312" w:eastAsia="楷体_GB2312"/>
          <w:sz w:val="28"/>
          <w:szCs w:val="28"/>
          <w:lang w:bidi="ar"/>
        </w:rPr>
        <w:t>【说明】鉴于中央、省级财政原则上将商务领域专项资金向市县或用款单位下放项目审批权限，增加了第二款规定。</w:t>
      </w:r>
    </w:p>
    <w:p>
      <w:pPr>
        <w:widowControl/>
        <w:shd w:val="clear" w:color="auto" w:fill="FFFFFF"/>
        <w:spacing w:line="560" w:lineRule="exact"/>
        <w:ind w:firstLine="660"/>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第三条（基本原则）</w:t>
      </w:r>
      <w:r>
        <w:rPr>
          <w:rFonts w:hint="eastAsia" w:ascii="仿宋_GB2312" w:hAnsi="仿宋_GB2312" w:eastAsia="仿宋_GB2312" w:cs="仿宋_GB2312"/>
          <w:b/>
          <w:kern w:val="0"/>
          <w:sz w:val="32"/>
          <w:szCs w:val="32"/>
          <w:shd w:val="clear" w:color="auto" w:fill="FFFFFF"/>
          <w:lang w:bidi="ar"/>
        </w:rPr>
        <w:t xml:space="preserve"> </w:t>
      </w:r>
      <w:r>
        <w:rPr>
          <w:rFonts w:hint="eastAsia" w:ascii="微软雅黑" w:hAnsi="微软雅黑" w:eastAsia="微软雅黑"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本专项资金管理遵循规范设立、严控新增，提前谋划、储备项目，绩效优先、目标明确，定期清理、滚动安排，依法公开、强化监督的原则。</w:t>
      </w:r>
    </w:p>
    <w:p>
      <w:pPr>
        <w:widowControl/>
        <w:shd w:val="clear" w:color="auto" w:fill="FFFFFF"/>
        <w:spacing w:line="560" w:lineRule="exact"/>
        <w:ind w:firstLine="6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专项资金的投向和使用应有利于更好地发挥市场配置资源的决定性作用，有利于更好地发挥财政支持政策的导向、撬动和调控作用，有利于促进我市商务领域产业和事业高质量发展，</w:t>
      </w:r>
      <w:r>
        <w:rPr>
          <w:rFonts w:hint="eastAsia" w:ascii="仿宋_GB2312" w:hAnsi="仿宋_GB2312" w:eastAsia="仿宋_GB2312" w:cs="仿宋_GB2312"/>
          <w:kern w:val="0"/>
          <w:sz w:val="32"/>
          <w:szCs w:val="32"/>
          <w:shd w:val="clear" w:color="auto" w:fill="FFFFFF"/>
          <w:lang w:eastAsia="zh-CN" w:bidi="ar"/>
        </w:rPr>
        <w:t>建设</w:t>
      </w:r>
      <w:r>
        <w:rPr>
          <w:rFonts w:hint="eastAsia" w:ascii="仿宋_GB2312" w:hAnsi="仿宋_GB2312" w:eastAsia="仿宋_GB2312" w:cs="仿宋_GB2312"/>
          <w:kern w:val="0"/>
          <w:sz w:val="32"/>
          <w:szCs w:val="32"/>
          <w:shd w:val="clear" w:color="auto" w:fill="FFFFFF"/>
          <w:lang w:bidi="ar"/>
        </w:rPr>
        <w:t>国内大循环中心节点城市和国内国际双循环战略链接城市。</w:t>
      </w:r>
    </w:p>
    <w:p>
      <w:pPr>
        <w:pStyle w:val="2"/>
        <w:widowControl/>
        <w:shd w:val="clear" w:color="auto" w:fill="FFFFFF"/>
        <w:spacing w:line="460" w:lineRule="exact"/>
        <w:ind w:left="0" w:leftChars="0" w:firstLine="560" w:firstLineChars="200"/>
        <w:rPr>
          <w:rFonts w:ascii="楷体_GB2312" w:hAnsi="仿宋_GB2312" w:eastAsia="楷体_GB2312" w:cs="仿宋_GB2312"/>
          <w:kern w:val="0"/>
          <w:sz w:val="28"/>
          <w:szCs w:val="28"/>
          <w:shd w:val="clear" w:color="auto" w:fill="FFFFFF"/>
          <w:lang w:bidi="ar"/>
        </w:rPr>
      </w:pPr>
      <w:r>
        <w:rPr>
          <w:rFonts w:hint="eastAsia" w:ascii="楷体_GB2312" w:eastAsia="楷体_GB2312"/>
          <w:sz w:val="28"/>
          <w:szCs w:val="28"/>
          <w:lang w:bidi="ar"/>
        </w:rPr>
        <w:t>【说明】由于原《广州市商务发展专项资金管理办法》（以下简称原《办法》）第六条属于原则性规定，整合到本条中。</w:t>
      </w:r>
    </w:p>
    <w:p>
      <w:pPr>
        <w:widowControl/>
        <w:shd w:val="clear" w:color="auto" w:fill="FFFFFF"/>
        <w:spacing w:line="560" w:lineRule="exact"/>
        <w:ind w:firstLine="660"/>
        <w:rPr>
          <w:rFonts w:hint="eastAsia"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第四条（审批权限）</w:t>
      </w:r>
      <w:r>
        <w:rPr>
          <w:rFonts w:hint="eastAsia" w:ascii="仿宋_GB2312" w:hAnsi="仿宋_GB2312" w:eastAsia="仿宋_GB2312" w:cs="仿宋_GB2312"/>
          <w:kern w:val="0"/>
          <w:sz w:val="32"/>
          <w:szCs w:val="32"/>
          <w:shd w:val="clear" w:color="auto" w:fill="FFFFFF"/>
          <w:lang w:bidi="ar"/>
        </w:rPr>
        <w:t xml:space="preserve">  按照“放管服”改革要求，在设立报批专项资金（专题）时，应明确专项资金各具体用途保留市级审批权限和下放区审批权限类型，对下放区审批权限的专项资金同时将资金专项转移支付至区。</w:t>
      </w:r>
    </w:p>
    <w:p>
      <w:pPr>
        <w:pStyle w:val="2"/>
        <w:spacing w:line="560" w:lineRule="exact"/>
        <w:ind w:left="0" w:leftChars="0" w:firstLine="640" w:firstLineChars="200"/>
        <w:rPr>
          <w:rFonts w:hint="eastAsia" w:eastAsia="仿宋_GB2312"/>
          <w:lang w:eastAsia="zh-CN"/>
        </w:rPr>
      </w:pPr>
      <w:r>
        <w:rPr>
          <w:rFonts w:hint="eastAsia" w:ascii="仿宋_GB2312" w:hAnsi="仿宋_GB2312" w:eastAsia="仿宋_GB2312" w:cs="仿宋_GB2312"/>
          <w:kern w:val="0"/>
          <w:sz w:val="32"/>
          <w:szCs w:val="32"/>
          <w:shd w:val="clear" w:color="auto" w:fill="FFFFFF"/>
          <w:lang w:eastAsia="zh-CN" w:bidi="ar"/>
        </w:rPr>
        <w:t>对</w:t>
      </w:r>
      <w:r>
        <w:rPr>
          <w:rFonts w:hint="eastAsia" w:ascii="仿宋_GB2312" w:hAnsi="仿宋_GB2312" w:eastAsia="仿宋_GB2312" w:cs="仿宋_GB2312"/>
          <w:kern w:val="0"/>
          <w:sz w:val="32"/>
          <w:szCs w:val="32"/>
          <w:shd w:val="clear" w:color="auto" w:fill="FFFFFF"/>
          <w:lang w:bidi="ar"/>
        </w:rPr>
        <w:t>保留市级审批权限和下放区审批权限</w:t>
      </w:r>
      <w:r>
        <w:rPr>
          <w:rFonts w:hint="eastAsia" w:ascii="仿宋_GB2312" w:hAnsi="仿宋_GB2312" w:eastAsia="仿宋_GB2312" w:cs="仿宋_GB2312"/>
          <w:kern w:val="0"/>
          <w:sz w:val="32"/>
          <w:szCs w:val="32"/>
          <w:shd w:val="clear" w:color="auto" w:fill="FFFFFF"/>
          <w:lang w:eastAsia="zh-CN" w:bidi="ar"/>
        </w:rPr>
        <w:t>专项资金，市、区商务主管部门</w:t>
      </w:r>
      <w:r>
        <w:rPr>
          <w:rFonts w:hint="eastAsia" w:ascii="仿宋_GB2312" w:hAnsi="仿宋_GB2312" w:eastAsia="仿宋_GB2312" w:cs="仿宋_GB2312"/>
          <w:kern w:val="0"/>
          <w:sz w:val="32"/>
          <w:szCs w:val="32"/>
          <w:shd w:val="clear" w:color="auto" w:fill="FFFFFF"/>
          <w:lang w:bidi="ar"/>
        </w:rPr>
        <w:t>按照“谁主管、谁审批、谁使用、谁负责”</w:t>
      </w:r>
      <w:r>
        <w:rPr>
          <w:rFonts w:hint="eastAsia" w:ascii="仿宋_GB2312" w:hAnsi="仿宋_GB2312" w:eastAsia="仿宋_GB2312" w:cs="仿宋_GB2312"/>
          <w:kern w:val="0"/>
          <w:sz w:val="32"/>
          <w:szCs w:val="32"/>
          <w:shd w:val="clear" w:color="auto" w:fill="FFFFFF"/>
          <w:lang w:eastAsia="zh-CN" w:bidi="ar"/>
        </w:rPr>
        <w:t>要求进行管理。</w:t>
      </w:r>
    </w:p>
    <w:p>
      <w:pPr>
        <w:pStyle w:val="2"/>
        <w:widowControl/>
        <w:shd w:val="clear" w:color="auto" w:fill="FFFFFF"/>
        <w:spacing w:line="460" w:lineRule="exact"/>
        <w:ind w:left="0" w:leftChars="0" w:firstLine="560" w:firstLineChars="200"/>
        <w:rPr>
          <w:rFonts w:ascii="楷体_GB2312" w:hAnsi="仿宋_GB2312" w:eastAsia="楷体_GB2312" w:cs="仿宋_GB2312"/>
          <w:kern w:val="0"/>
          <w:sz w:val="28"/>
          <w:szCs w:val="28"/>
          <w:shd w:val="clear" w:color="auto" w:fill="FFFFFF"/>
          <w:lang w:bidi="ar"/>
        </w:rPr>
      </w:pPr>
      <w:r>
        <w:rPr>
          <w:rFonts w:hint="eastAsia" w:ascii="楷体_GB2312" w:eastAsia="楷体_GB2312"/>
          <w:sz w:val="28"/>
          <w:szCs w:val="28"/>
          <w:lang w:bidi="ar"/>
        </w:rPr>
        <w:t>【说明】适应“放管服”改革要求，明确在设立环节设置</w:t>
      </w:r>
      <w:r>
        <w:rPr>
          <w:rFonts w:hint="eastAsia" w:ascii="楷体_GB2312" w:hAnsi="仿宋_GB2312" w:eastAsia="楷体_GB2312" w:cs="仿宋_GB2312"/>
          <w:kern w:val="0"/>
          <w:sz w:val="28"/>
          <w:szCs w:val="28"/>
          <w:shd w:val="clear" w:color="auto" w:fill="FFFFFF"/>
          <w:lang w:bidi="ar"/>
        </w:rPr>
        <w:t>市级审批权限和下放区审批权限类型，同时将</w:t>
      </w:r>
      <w:r>
        <w:rPr>
          <w:rFonts w:hint="eastAsia" w:ascii="楷体_GB2312" w:eastAsia="楷体_GB2312"/>
          <w:sz w:val="28"/>
          <w:szCs w:val="28"/>
          <w:lang w:bidi="ar"/>
        </w:rPr>
        <w:t>原《办法》第十二条第（二）项按因素法分配资金项删除，整合到本条中。</w:t>
      </w:r>
    </w:p>
    <w:p>
      <w:pPr>
        <w:widowControl/>
        <w:shd w:val="clear" w:color="auto" w:fill="FFFFFF"/>
        <w:spacing w:line="560" w:lineRule="exact"/>
        <w:ind w:firstLine="660"/>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第五条（职责分工）</w:t>
      </w:r>
      <w:r>
        <w:rPr>
          <w:rFonts w:hint="eastAsia" w:ascii="微软雅黑" w:hAnsi="微软雅黑" w:eastAsia="微软雅黑"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市商务局、市财政局，各区商务主管部门、区财政局，申请人和用款单位，市区审计部门和第三方机构，按照职责分工共同做好本专项资金管理和监督工作</w:t>
      </w:r>
      <w:r>
        <w:rPr>
          <w:rFonts w:hint="eastAsia" w:ascii="仿宋_GB2312" w:hAnsi="仿宋_GB2312" w:eastAsia="仿宋_GB2312" w:cs="仿宋_GB2312"/>
          <w:bCs/>
          <w:iCs/>
          <w:kern w:val="0"/>
          <w:sz w:val="32"/>
          <w:szCs w:val="32"/>
          <w:shd w:val="clear" w:color="auto" w:fill="FFFFFF"/>
          <w:lang w:bidi="ar"/>
        </w:rPr>
        <w:t>。</w:t>
      </w:r>
    </w:p>
    <w:p>
      <w:pPr>
        <w:widowControl/>
        <w:shd w:val="clear" w:color="auto" w:fill="FFFFFF"/>
        <w:spacing w:line="560" w:lineRule="exact"/>
        <w:ind w:firstLine="660"/>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（一）市商务局承担本专项资金预算编制和执行，负责专项资金设立、报批和清理，制定商务领域支持政策和资金管理办法，编报专项资金预算、用途清单和绩效目标</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组织保留市级审批权限的专项资金项目申报、评审、报批、信息公开、监督检查和绩效评价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对专项资金预算执行情况和绩效管理情况进行“双监控”等。</w:t>
      </w:r>
    </w:p>
    <w:p>
      <w:pPr>
        <w:widowControl/>
        <w:shd w:val="clear" w:color="auto" w:fill="FFFFFF"/>
        <w:spacing w:line="560" w:lineRule="exact"/>
        <w:ind w:firstLine="624"/>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（二）市财政局负责按照预算管理规定审核、报批和下达专项资金预算，组织绩效评价等。</w:t>
      </w:r>
    </w:p>
    <w:p>
      <w:pPr>
        <w:widowControl/>
        <w:shd w:val="clear" w:color="auto" w:fill="FFFFFF"/>
        <w:spacing w:line="560" w:lineRule="exact"/>
        <w:ind w:firstLine="6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各区商务主管部门负责下放区审批权限的专项资金预算、用途清单和绩效目标编报，组织项目申报、评审、报批、信息公开、监督检查和绩效评价，对专项资金预算执行情况和绩效管理情况进行“双监控”；对保留市级审批权限的专项资金，按要求组织本辖区所属企业、单位</w:t>
      </w:r>
      <w:r>
        <w:rPr>
          <w:rFonts w:hint="eastAsia" w:ascii="仿宋_GB2312" w:hAnsi="仿宋_GB2312" w:eastAsia="仿宋_GB2312" w:cs="仿宋_GB2312"/>
          <w:kern w:val="0"/>
          <w:sz w:val="32"/>
          <w:szCs w:val="32"/>
          <w:shd w:val="clear" w:color="auto" w:fill="FFFFFF"/>
          <w:lang w:eastAsia="zh-CN" w:bidi="ar"/>
        </w:rPr>
        <w:t>个人</w:t>
      </w:r>
      <w:r>
        <w:rPr>
          <w:rFonts w:hint="eastAsia" w:ascii="仿宋_GB2312" w:hAnsi="仿宋_GB2312" w:eastAsia="仿宋_GB2312" w:cs="仿宋_GB2312"/>
          <w:kern w:val="0"/>
          <w:sz w:val="32"/>
          <w:szCs w:val="32"/>
          <w:shd w:val="clear" w:color="auto" w:fill="FFFFFF"/>
          <w:lang w:bidi="ar"/>
        </w:rPr>
        <w:t>申报项目并对项目开展初审、资金拨付、监督检查及绩效评价等工作。</w:t>
      </w:r>
    </w:p>
    <w:p>
      <w:pPr>
        <w:widowControl/>
        <w:shd w:val="clear" w:color="auto" w:fill="FFFFFF"/>
        <w:spacing w:line="560" w:lineRule="exact"/>
        <w:ind w:firstLine="6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（四）各区财政局负责办理转移支付至区的专项资金预算下达和拨付，定期开展资金清算。</w:t>
      </w:r>
    </w:p>
    <w:p>
      <w:pPr>
        <w:widowControl/>
        <w:shd w:val="clear" w:color="auto" w:fill="FFFFFF"/>
        <w:spacing w:line="560" w:lineRule="exact"/>
        <w:ind w:firstLine="660"/>
        <w:rPr>
          <w:lang w:bidi="ar"/>
        </w:rPr>
      </w:pPr>
      <w:r>
        <w:rPr>
          <w:rFonts w:hint="eastAsia" w:ascii="仿宋_GB2312" w:hAnsi="仿宋_GB2312" w:eastAsia="仿宋_GB2312" w:cs="仿宋_GB2312"/>
          <w:kern w:val="0"/>
          <w:sz w:val="32"/>
          <w:szCs w:val="32"/>
          <w:shd w:val="clear" w:color="auto" w:fill="FFFFFF"/>
          <w:lang w:bidi="ar"/>
        </w:rPr>
        <w:t>（五）专项资金申报人</w:t>
      </w:r>
      <w:r>
        <w:rPr>
          <w:rFonts w:hint="eastAsia" w:ascii="仿宋_GB2312" w:hAnsi="仿宋_GB2312" w:eastAsia="仿宋_GB2312" w:cs="仿宋_GB2312"/>
          <w:sz w:val="32"/>
          <w:szCs w:val="32"/>
        </w:rPr>
        <w:t>对申报材料和项目真实性、合法性、完整性负责；</w:t>
      </w:r>
      <w:r>
        <w:rPr>
          <w:rFonts w:hint="eastAsia" w:ascii="仿宋_GB2312" w:hAnsi="仿宋_GB2312" w:eastAsia="仿宋_GB2312" w:cs="仿宋_GB2312"/>
          <w:kern w:val="0"/>
          <w:sz w:val="32"/>
          <w:szCs w:val="32"/>
          <w:shd w:val="clear" w:color="auto" w:fill="FFFFFF"/>
          <w:lang w:bidi="ar"/>
        </w:rPr>
        <w:t>用款单位对项目实施和资金使用负责，严格执行专项资金管理规定和申报用途，具体组织项目实施，加强财务管理，接受验收考评、监督检查和绩效评价。</w:t>
      </w:r>
    </w:p>
    <w:p>
      <w:pPr>
        <w:pStyle w:val="2"/>
        <w:widowControl/>
        <w:shd w:val="clear" w:color="auto" w:fill="FFFFFF"/>
        <w:spacing w:line="560" w:lineRule="exact"/>
        <w:ind w:left="0" w:leftChars="0" w:firstLine="640" w:firstLineChars="200"/>
        <w:rPr>
          <w:lang w:bidi="ar"/>
        </w:rPr>
      </w:pPr>
      <w:r>
        <w:rPr>
          <w:rFonts w:hint="eastAsia" w:ascii="仿宋_GB2312" w:hAnsi="仿宋_GB2312" w:eastAsia="仿宋_GB2312" w:cs="仿宋_GB2312"/>
          <w:kern w:val="0"/>
          <w:sz w:val="32"/>
          <w:szCs w:val="32"/>
          <w:shd w:val="clear" w:color="auto" w:fill="FFFFFF"/>
          <w:lang w:bidi="ar"/>
        </w:rPr>
        <w:t>（六）市、区审计部门按照</w:t>
      </w:r>
      <w:r>
        <w:rPr>
          <w:rFonts w:hint="eastAsia" w:ascii="仿宋_GB2312" w:hAnsi="仿宋_GB2312" w:eastAsia="仿宋_GB2312" w:cs="仿宋_GB2312"/>
          <w:kern w:val="0"/>
          <w:sz w:val="32"/>
          <w:szCs w:val="32"/>
          <w:shd w:val="clear" w:color="auto" w:fill="FFFFFF"/>
          <w:lang w:eastAsia="zh-CN" w:bidi="ar"/>
        </w:rPr>
        <w:t>《中华人民共和国审计法》等法律法规</w:t>
      </w:r>
      <w:r>
        <w:rPr>
          <w:rFonts w:hint="eastAsia" w:ascii="仿宋_GB2312" w:hAnsi="仿宋_GB2312" w:eastAsia="仿宋_GB2312" w:cs="仿宋_GB2312"/>
          <w:kern w:val="0"/>
          <w:sz w:val="32"/>
          <w:szCs w:val="32"/>
          <w:shd w:val="clear" w:color="auto" w:fill="FFFFFF"/>
          <w:lang w:bidi="ar"/>
        </w:rPr>
        <w:t>，对专项资金的管理</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分配和使用</w:t>
      </w:r>
      <w:r>
        <w:rPr>
          <w:rFonts w:hint="eastAsia" w:ascii="仿宋_GB2312" w:hAnsi="仿宋_GB2312" w:eastAsia="仿宋_GB2312" w:cs="仿宋_GB2312"/>
          <w:kern w:val="0"/>
          <w:sz w:val="32"/>
          <w:szCs w:val="32"/>
          <w:shd w:val="clear" w:color="auto" w:fill="FFFFFF"/>
          <w:lang w:eastAsia="zh-CN" w:bidi="ar"/>
        </w:rPr>
        <w:t>等情况</w:t>
      </w:r>
      <w:r>
        <w:rPr>
          <w:rFonts w:hint="eastAsia" w:ascii="仿宋_GB2312" w:hAnsi="仿宋_GB2312" w:eastAsia="仿宋_GB2312" w:cs="仿宋_GB2312"/>
          <w:kern w:val="0"/>
          <w:sz w:val="32"/>
          <w:szCs w:val="32"/>
          <w:shd w:val="clear" w:color="auto" w:fill="FFFFFF"/>
          <w:lang w:bidi="ar"/>
        </w:rPr>
        <w:t>实施</w:t>
      </w:r>
      <w:r>
        <w:rPr>
          <w:rFonts w:hint="eastAsia" w:ascii="仿宋_GB2312" w:hAnsi="仿宋_GB2312" w:eastAsia="仿宋_GB2312" w:cs="仿宋_GB2312"/>
          <w:kern w:val="0"/>
          <w:sz w:val="32"/>
          <w:szCs w:val="32"/>
          <w:shd w:val="clear" w:color="auto" w:fill="FFFFFF"/>
          <w:lang w:eastAsia="zh-CN" w:bidi="ar"/>
        </w:rPr>
        <w:t>独立</w:t>
      </w:r>
      <w:r>
        <w:rPr>
          <w:rFonts w:hint="eastAsia" w:ascii="仿宋_GB2312" w:hAnsi="仿宋_GB2312" w:eastAsia="仿宋_GB2312" w:cs="仿宋_GB2312"/>
          <w:kern w:val="0"/>
          <w:sz w:val="32"/>
          <w:szCs w:val="32"/>
          <w:shd w:val="clear" w:color="auto" w:fill="FFFFFF"/>
          <w:lang w:bidi="ar"/>
        </w:rPr>
        <w:t>审计监督。</w:t>
      </w:r>
    </w:p>
    <w:p>
      <w:pPr>
        <w:widowControl/>
        <w:shd w:val="clear" w:color="auto" w:fill="FFFFFF"/>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w:t>
      </w:r>
      <w:r>
        <w:rPr>
          <w:rFonts w:hint="eastAsia" w:ascii="仿宋_GB2312" w:hAnsi="仿宋_GB2312" w:eastAsia="仿宋_GB2312" w:cs="仿宋_GB2312"/>
          <w:sz w:val="32"/>
          <w:szCs w:val="32"/>
        </w:rPr>
        <w:t>受委托的第三方专业机构应按约履责，完善内控制度，按规定做好相关信息的安全管理和保密工作。</w:t>
      </w:r>
    </w:p>
    <w:p>
      <w:pPr>
        <w:widowControl/>
        <w:shd w:val="clear" w:color="auto" w:fill="FFFFFF"/>
        <w:spacing w:line="460" w:lineRule="exact"/>
        <w:ind w:firstLine="658"/>
        <w:rPr>
          <w:rFonts w:ascii="微软雅黑" w:hAnsi="微软雅黑" w:eastAsia="微软雅黑" w:cs="微软雅黑"/>
          <w:sz w:val="32"/>
          <w:szCs w:val="32"/>
        </w:rPr>
      </w:pPr>
      <w:r>
        <w:rPr>
          <w:rFonts w:hint="eastAsia" w:ascii="楷体_GB2312" w:eastAsia="楷体_GB2312"/>
          <w:sz w:val="28"/>
          <w:szCs w:val="28"/>
          <w:lang w:bidi="ar"/>
        </w:rPr>
        <w:t>【说明】</w:t>
      </w:r>
      <w:r>
        <w:rPr>
          <w:rFonts w:hint="eastAsia" w:ascii="楷体_GB2312" w:eastAsia="楷体_GB2312"/>
          <w:sz w:val="28"/>
          <w:szCs w:val="28"/>
          <w:lang w:eastAsia="zh-CN" w:bidi="ar"/>
        </w:rPr>
        <w:t>根据</w:t>
      </w:r>
      <w:r>
        <w:rPr>
          <w:rFonts w:hint="eastAsia" w:ascii="楷体_GB2312" w:eastAsia="楷体_GB2312"/>
          <w:sz w:val="28"/>
          <w:szCs w:val="28"/>
          <w:lang w:bidi="ar"/>
        </w:rPr>
        <w:t>《广州市市级财政专项资金管理办法》调整商务、财政部门职责，同时在原《办法》基础上增加了审计、申报</w:t>
      </w:r>
      <w:r>
        <w:rPr>
          <w:rFonts w:hint="eastAsia" w:ascii="楷体_GB2312" w:eastAsia="楷体_GB2312"/>
          <w:sz w:val="28"/>
          <w:szCs w:val="28"/>
          <w:lang w:eastAsia="zh-CN" w:bidi="ar"/>
        </w:rPr>
        <w:t>人、</w:t>
      </w:r>
      <w:r>
        <w:rPr>
          <w:rFonts w:hint="eastAsia" w:ascii="楷体_GB2312" w:eastAsia="楷体_GB2312"/>
          <w:sz w:val="28"/>
          <w:szCs w:val="28"/>
          <w:lang w:bidi="ar"/>
        </w:rPr>
        <w:t>用款单位、第三方机构等单位职责。</w:t>
      </w:r>
    </w:p>
    <w:p>
      <w:pPr>
        <w:pStyle w:val="3"/>
        <w:widowControl/>
        <w:shd w:val="clear" w:color="auto" w:fill="FFFFFF"/>
        <w:spacing w:before="0" w:after="0" w:line="960" w:lineRule="auto"/>
        <w:jc w:val="center"/>
        <w:rPr>
          <w:rFonts w:ascii="黑体" w:hAnsi="黑体" w:eastAsia="黑体" w:cs="微软雅黑"/>
          <w:sz w:val="32"/>
          <w:szCs w:val="32"/>
          <w:shd w:val="clear" w:color="auto" w:fill="FFFFFF"/>
          <w:lang w:bidi="ar"/>
        </w:rPr>
      </w:pPr>
      <w:r>
        <w:rPr>
          <w:rFonts w:hint="eastAsia" w:ascii="黑体" w:hAnsi="黑体" w:eastAsia="黑体" w:cs="黑体"/>
          <w:b w:val="0"/>
          <w:kern w:val="0"/>
          <w:sz w:val="32"/>
          <w:szCs w:val="32"/>
          <w:shd w:val="clear" w:color="auto" w:fill="FFFFFF"/>
          <w:lang w:bidi="ar"/>
        </w:rPr>
        <w:t>第二章</w:t>
      </w:r>
      <w:r>
        <w:rPr>
          <w:rFonts w:ascii="黑体" w:hAnsi="黑体" w:eastAsia="黑体" w:cs="黑体"/>
          <w:b w:val="0"/>
          <w:kern w:val="0"/>
          <w:sz w:val="32"/>
          <w:szCs w:val="32"/>
          <w:shd w:val="clear" w:color="auto" w:fill="FFFFFF"/>
          <w:lang w:bidi="ar"/>
        </w:rPr>
        <w:t xml:space="preserve"> </w:t>
      </w:r>
      <w:r>
        <w:rPr>
          <w:rFonts w:hint="eastAsia" w:ascii="黑体" w:hAnsi="黑体" w:eastAsia="黑体" w:cs="黑体"/>
          <w:b w:val="0"/>
          <w:kern w:val="0"/>
          <w:sz w:val="32"/>
          <w:szCs w:val="32"/>
          <w:shd w:val="clear" w:color="auto" w:fill="FFFFFF"/>
          <w:lang w:bidi="ar"/>
        </w:rPr>
        <w:t>支持重点、</w:t>
      </w:r>
      <w:r>
        <w:rPr>
          <w:rFonts w:hint="eastAsia" w:ascii="黑体" w:hAnsi="黑体" w:eastAsia="黑体"/>
          <w:b w:val="0"/>
          <w:sz w:val="32"/>
          <w:szCs w:val="32"/>
          <w:shd w:val="clear" w:color="auto" w:fill="FFFFFF"/>
          <w:lang w:bidi="ar"/>
        </w:rPr>
        <w:t>条件</w:t>
      </w:r>
      <w:r>
        <w:rPr>
          <w:rFonts w:hint="eastAsia" w:ascii="黑体" w:hAnsi="黑体" w:eastAsia="黑体" w:cs="黑体"/>
          <w:b w:val="0"/>
          <w:kern w:val="0"/>
          <w:sz w:val="32"/>
          <w:szCs w:val="32"/>
          <w:shd w:val="clear" w:color="auto" w:fill="FFFFFF"/>
          <w:lang w:bidi="ar"/>
        </w:rPr>
        <w:t>和方式</w:t>
      </w:r>
    </w:p>
    <w:p>
      <w:pPr>
        <w:widowControl/>
        <w:shd w:val="clear" w:color="auto" w:fill="FFFFFF"/>
        <w:spacing w:line="560" w:lineRule="exact"/>
        <w:ind w:firstLine="630"/>
        <w:rPr>
          <w:rFonts w:ascii="仿宋_GB2312" w:hAnsi="仿宋_GB2312" w:eastAsia="仿宋_GB2312" w:cs="仿宋_GB2312"/>
          <w:sz w:val="32"/>
          <w:szCs w:val="32"/>
        </w:rPr>
      </w:pPr>
      <w:r>
        <w:rPr>
          <w:rFonts w:hint="eastAsia" w:ascii="微软雅黑" w:hAnsi="微软雅黑" w:eastAsia="微软雅黑" w:cs="微软雅黑"/>
          <w:kern w:val="0"/>
          <w:sz w:val="32"/>
          <w:szCs w:val="32"/>
          <w:shd w:val="clear" w:color="auto" w:fill="FFFFFF"/>
          <w:lang w:bidi="ar"/>
        </w:rPr>
        <w:t> </w:t>
      </w:r>
      <w:r>
        <w:rPr>
          <w:rFonts w:hint="eastAsia" w:ascii="楷体_GB2312" w:hAnsi="仿宋_GB2312" w:eastAsia="楷体_GB2312" w:cs="仿宋_GB2312"/>
          <w:b/>
          <w:kern w:val="0"/>
          <w:sz w:val="32"/>
          <w:szCs w:val="32"/>
          <w:shd w:val="clear" w:color="auto" w:fill="FFFFFF"/>
          <w:lang w:bidi="ar"/>
        </w:rPr>
        <w:t>第六条（支持重点）</w:t>
      </w:r>
      <w:r>
        <w:rPr>
          <w:rFonts w:hint="eastAsia" w:ascii="微软雅黑" w:hAnsi="微软雅黑" w:eastAsia="微软雅黑" w:cs="微软雅黑"/>
          <w:b/>
          <w:kern w:val="0"/>
          <w:sz w:val="32"/>
          <w:szCs w:val="32"/>
          <w:shd w:val="clear" w:color="auto" w:fill="FFFFFF"/>
          <w:lang w:bidi="ar"/>
        </w:rPr>
        <w:t xml:space="preserve">  </w:t>
      </w:r>
      <w:r>
        <w:rPr>
          <w:rFonts w:hint="eastAsia" w:ascii="仿宋_GB2312" w:hAnsi="仿宋_GB2312" w:eastAsia="仿宋_GB2312" w:cs="仿宋_GB2312"/>
          <w:sz w:val="32"/>
          <w:szCs w:val="32"/>
        </w:rPr>
        <w:t>本专项资金</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建立</w:t>
      </w:r>
      <w:r>
        <w:rPr>
          <w:rFonts w:ascii="仿宋_GB2312" w:hAnsi="仿宋_GB2312" w:eastAsia="仿宋_GB2312" w:cs="仿宋_GB2312"/>
          <w:sz w:val="32"/>
          <w:szCs w:val="32"/>
        </w:rPr>
        <w:t>大事要事</w:t>
      </w:r>
      <w:r>
        <w:rPr>
          <w:rFonts w:hint="eastAsia" w:ascii="仿宋_GB2312" w:hAnsi="仿宋_GB2312" w:eastAsia="仿宋_GB2312" w:cs="仿宋_GB2312"/>
          <w:sz w:val="32"/>
          <w:szCs w:val="32"/>
        </w:rPr>
        <w:t>保障机制为核心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按照中央、省和市重大决策部署，</w:t>
      </w:r>
      <w:r>
        <w:rPr>
          <w:rFonts w:hint="eastAsia" w:ascii="仿宋_GB2312" w:eastAsia="仿宋_GB2312"/>
          <w:sz w:val="32"/>
          <w:szCs w:val="32"/>
        </w:rPr>
        <w:t>围绕全市经济社会发展规划和商务发展专项规划，</w:t>
      </w:r>
      <w:r>
        <w:rPr>
          <w:rFonts w:hint="eastAsia" w:ascii="仿宋_GB2312" w:hAnsi="仿宋_GB2312" w:eastAsia="仿宋_GB2312" w:cs="仿宋_GB2312"/>
          <w:sz w:val="32"/>
          <w:szCs w:val="32"/>
        </w:rPr>
        <w:t>重点支持和保障完成以下主要任务：</w:t>
      </w:r>
    </w:p>
    <w:p>
      <w:pPr>
        <w:spacing w:line="560" w:lineRule="exact"/>
        <w:ind w:firstLine="640"/>
        <w:rPr>
          <w:rFonts w:ascii="仿宋_GB2312" w:hAnsi="仿宋_GB2312" w:eastAsia="仿宋_GB2312" w:cs="仿宋_GB2312"/>
          <w:kern w:val="0"/>
          <w:sz w:val="24"/>
        </w:rPr>
      </w:pPr>
      <w:r>
        <w:rPr>
          <w:rFonts w:hint="eastAsia" w:ascii="仿宋_GB2312" w:hAnsi="仿宋_GB2312" w:eastAsia="仿宋_GB2312" w:cs="仿宋_GB2312"/>
          <w:snapToGrid w:val="0"/>
          <w:kern w:val="0"/>
          <w:sz w:val="32"/>
          <w:szCs w:val="32"/>
        </w:rPr>
        <w:t>（一）培育建设国际消费中心城市，擦亮“买在广州”品牌，建设国际知名商圈、特色商圈和社区商业，提升商贸主体能级，促进消费扩容提质，培育新消费新场景，打造电商之都、会展之都、美食之都。</w:t>
      </w:r>
    </w:p>
    <w:p>
      <w:pPr>
        <w:spacing w:line="560" w:lineRule="exact"/>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（二）巩固提升外贸强市地位作用，加快货物贸易优化升级，全面提升服务贸易能级。</w:t>
      </w:r>
    </w:p>
    <w:p>
      <w:pPr>
        <w:spacing w:line="560" w:lineRule="exact"/>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（三）促进双向投资合作，增强高端要素资源配置能力，建设“一带一路”重要枢纽城市</w:t>
      </w:r>
      <w:r>
        <w:rPr>
          <w:rFonts w:ascii="仿宋_GB2312" w:hAnsi="仿宋_GB2312" w:eastAsia="仿宋_GB2312" w:cs="仿宋_GB2312"/>
          <w:snapToGrid w:val="0"/>
          <w:kern w:val="0"/>
          <w:sz w:val="32"/>
          <w:szCs w:val="32"/>
        </w:rPr>
        <w:t>,构建更高水平开放型经济新体制</w:t>
      </w:r>
      <w:r>
        <w:rPr>
          <w:rFonts w:hint="eastAsia" w:ascii="仿宋_GB2312" w:hAnsi="仿宋_GB2312" w:eastAsia="仿宋_GB2312" w:cs="仿宋_GB2312"/>
          <w:snapToGrid w:val="0"/>
          <w:kern w:val="0"/>
          <w:sz w:val="32"/>
          <w:szCs w:val="32"/>
        </w:rPr>
        <w:t>。</w:t>
      </w:r>
    </w:p>
    <w:p>
      <w:pPr>
        <w:spacing w:line="560" w:lineRule="exact"/>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（四）提升口岸通关便利化水平，强化世界级口岸枢纽功能。</w:t>
      </w:r>
    </w:p>
    <w:p>
      <w:pPr>
        <w:spacing w:line="560" w:lineRule="exact"/>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（五）坚持数字技术、数字经济赋能商务高质量发展，推动电子商务、数字贸易、数字商务发展。</w:t>
      </w:r>
    </w:p>
    <w:p>
      <w:pPr>
        <w:widowControl/>
        <w:shd w:val="clear" w:color="auto" w:fill="FFFFFF"/>
        <w:spacing w:line="560" w:lineRule="exact"/>
        <w:ind w:firstLine="63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（六）市委、市政府安排商务领域的其它重要任务。</w:t>
      </w:r>
    </w:p>
    <w:p>
      <w:pPr>
        <w:pStyle w:val="2"/>
        <w:widowControl/>
        <w:shd w:val="clear" w:color="auto" w:fill="FFFFFF"/>
        <w:spacing w:line="460" w:lineRule="exact"/>
        <w:ind w:left="0" w:leftChars="0" w:firstLine="425" w:firstLineChars="152"/>
        <w:rPr>
          <w:rFonts w:ascii="仿宋_GB2312" w:hAnsi="仿宋_GB2312" w:eastAsia="仿宋_GB2312" w:cs="仿宋_GB2312"/>
          <w:snapToGrid w:val="0"/>
          <w:kern w:val="0"/>
          <w:sz w:val="32"/>
          <w:szCs w:val="32"/>
        </w:rPr>
      </w:pPr>
      <w:r>
        <w:rPr>
          <w:rFonts w:hint="eastAsia" w:ascii="楷体_GB2312" w:eastAsia="楷体_GB2312"/>
          <w:sz w:val="28"/>
          <w:szCs w:val="28"/>
          <w:lang w:bidi="ar"/>
        </w:rPr>
        <w:t>【说明】根据《广州市国民经济和社会发展第十四个五年规划和2035年远景目标纲要》（穗府〔2021〕7号）《广州市培育建设国际消费中心城市实施方案》《广州市商务第十四个五年规划》等文件，以及市委、市政府重大决策部署，按照省、市财政推广“大专项+任务清单”模式，聚焦商务领域“十四五”及今后一段时期的中心工作和目标任务，重新梳理</w:t>
      </w:r>
      <w:r>
        <w:rPr>
          <w:rFonts w:hint="eastAsia" w:ascii="楷体_GB2312" w:eastAsia="楷体_GB2312"/>
          <w:color w:val="0000FF"/>
          <w:sz w:val="28"/>
          <w:szCs w:val="28"/>
          <w:lang w:bidi="ar"/>
        </w:rPr>
        <w:t>专项资金</w:t>
      </w:r>
      <w:r>
        <w:rPr>
          <w:rFonts w:hint="eastAsia" w:ascii="楷体_GB2312" w:eastAsia="楷体_GB2312"/>
          <w:sz w:val="28"/>
          <w:szCs w:val="28"/>
          <w:lang w:bidi="ar"/>
        </w:rPr>
        <w:t>支持</w:t>
      </w:r>
      <w:r>
        <w:rPr>
          <w:rFonts w:hint="eastAsia" w:ascii="楷体_GB2312" w:eastAsia="楷体_GB2312"/>
          <w:sz w:val="28"/>
          <w:szCs w:val="28"/>
          <w:lang w:eastAsia="zh-CN" w:bidi="ar"/>
        </w:rPr>
        <w:t>方向和</w:t>
      </w:r>
      <w:r>
        <w:rPr>
          <w:rFonts w:hint="eastAsia" w:ascii="楷体_GB2312" w:eastAsia="楷体_GB2312"/>
          <w:sz w:val="28"/>
          <w:szCs w:val="28"/>
          <w:lang w:bidi="ar"/>
        </w:rPr>
        <w:t>重点。</w:t>
      </w:r>
    </w:p>
    <w:p>
      <w:pPr>
        <w:widowControl/>
        <w:shd w:val="clear" w:color="auto" w:fill="FFFFFF"/>
        <w:spacing w:line="560" w:lineRule="exact"/>
        <w:ind w:firstLine="630"/>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第七条（任务清单）</w:t>
      </w:r>
      <w:r>
        <w:rPr>
          <w:rFonts w:hint="eastAsia" w:ascii="仿宋_GB2312" w:hAnsi="仿宋_GB2312" w:eastAsia="仿宋_GB2312" w:cs="仿宋_GB2312"/>
          <w:kern w:val="0"/>
          <w:sz w:val="32"/>
          <w:szCs w:val="32"/>
          <w:shd w:val="clear" w:color="auto" w:fill="FFFFFF"/>
          <w:lang w:bidi="ar"/>
        </w:rPr>
        <w:t> 建立“大专项</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任务清单”机制。按照第六条列明的重点任务</w:t>
      </w:r>
      <w:r>
        <w:rPr>
          <w:rFonts w:hint="eastAsia" w:ascii="仿宋_GB2312" w:hAnsi="仿宋_GB2312" w:eastAsia="仿宋_GB2312" w:cs="仿宋_GB2312"/>
          <w:snapToGrid w:val="0"/>
          <w:kern w:val="0"/>
          <w:sz w:val="32"/>
          <w:szCs w:val="32"/>
          <w:lang w:bidi="ar"/>
        </w:rPr>
        <w:t>，</w:t>
      </w:r>
      <w:r>
        <w:rPr>
          <w:rFonts w:hint="eastAsia" w:ascii="仿宋_GB2312" w:hAnsi="仿宋_GB2312" w:eastAsia="仿宋_GB2312" w:cs="仿宋_GB2312"/>
          <w:kern w:val="0"/>
          <w:sz w:val="32"/>
          <w:szCs w:val="32"/>
          <w:shd w:val="clear" w:color="auto" w:fill="FFFFFF"/>
          <w:lang w:bidi="ar"/>
        </w:rPr>
        <w:t>结合商务发展年度工作重点和预算安排等因素制定年度用途清单，并在广州市促进商务高质量发展专项资金下设立二级项目（专题）进行管理。</w:t>
      </w:r>
    </w:p>
    <w:p>
      <w:pPr>
        <w:pStyle w:val="2"/>
        <w:widowControl/>
        <w:shd w:val="clear" w:color="auto" w:fill="FFFFFF"/>
        <w:spacing w:line="460" w:lineRule="exact"/>
        <w:ind w:left="0" w:leftChars="0" w:firstLine="708" w:firstLineChars="253"/>
        <w:rPr>
          <w:rFonts w:ascii="微软雅黑" w:hAnsi="微软雅黑" w:eastAsia="微软雅黑" w:cs="微软雅黑"/>
          <w:sz w:val="32"/>
          <w:szCs w:val="32"/>
          <w:lang w:bidi="ar"/>
        </w:rPr>
      </w:pPr>
      <w:r>
        <w:rPr>
          <w:rFonts w:hint="eastAsia" w:ascii="楷体_GB2312" w:eastAsia="楷体_GB2312"/>
          <w:sz w:val="28"/>
          <w:szCs w:val="28"/>
          <w:lang w:bidi="ar"/>
        </w:rPr>
        <w:t>【说明】适应财政改革要求，将原《办法》中“大专项+支持事项”修改为“</w:t>
      </w:r>
      <w:r>
        <w:rPr>
          <w:rFonts w:hint="eastAsia" w:ascii="楷体_GB2312" w:hAnsi="仿宋_GB2312" w:eastAsia="楷体_GB2312" w:cs="仿宋_GB2312"/>
          <w:snapToGrid w:val="0"/>
          <w:kern w:val="0"/>
          <w:sz w:val="28"/>
          <w:szCs w:val="28"/>
          <w:lang w:bidi="ar"/>
        </w:rPr>
        <w:t>大专项</w:t>
      </w:r>
      <w:r>
        <w:rPr>
          <w:rFonts w:ascii="楷体_GB2312" w:hAnsi="仿宋_GB2312" w:eastAsia="楷体_GB2312" w:cs="仿宋_GB2312"/>
          <w:snapToGrid w:val="0"/>
          <w:kern w:val="0"/>
          <w:sz w:val="28"/>
          <w:szCs w:val="28"/>
          <w:lang w:bidi="ar"/>
        </w:rPr>
        <w:t>+</w:t>
      </w:r>
      <w:r>
        <w:rPr>
          <w:rFonts w:hint="eastAsia" w:ascii="楷体_GB2312" w:hAnsi="仿宋_GB2312" w:eastAsia="楷体_GB2312" w:cs="仿宋_GB2312"/>
          <w:snapToGrid w:val="0"/>
          <w:kern w:val="0"/>
          <w:sz w:val="28"/>
          <w:szCs w:val="28"/>
          <w:lang w:bidi="ar"/>
        </w:rPr>
        <w:t>任务清单</w:t>
      </w:r>
      <w:r>
        <w:rPr>
          <w:rFonts w:hint="eastAsia" w:ascii="楷体_GB2312" w:eastAsia="楷体_GB2312"/>
          <w:sz w:val="28"/>
          <w:szCs w:val="28"/>
          <w:lang w:bidi="ar"/>
        </w:rPr>
        <w:t>”，主要任务（资金用途）在资金管理上设为支持专题（即专项资金二级项目），有关专题中具体支持内容在资金管理上称为支持事项。</w:t>
      </w:r>
    </w:p>
    <w:p>
      <w:pPr>
        <w:widowControl/>
        <w:shd w:val="clear" w:color="auto" w:fill="FFFFFF"/>
        <w:spacing w:line="560" w:lineRule="exact"/>
        <w:ind w:firstLine="630"/>
        <w:rPr>
          <w:rFonts w:ascii="仿宋_GB2312" w:hAnsi="仿宋_GB2312" w:eastAsia="仿宋_GB2312" w:cs="仿宋_GB2312"/>
          <w:snapToGrid w:val="0"/>
          <w:kern w:val="0"/>
          <w:sz w:val="32"/>
          <w:szCs w:val="32"/>
          <w:lang w:bidi="ar"/>
        </w:rPr>
      </w:pPr>
      <w:r>
        <w:rPr>
          <w:rFonts w:hint="eastAsia" w:ascii="楷体_GB2312" w:hAnsi="仿宋_GB2312" w:eastAsia="楷体_GB2312" w:cs="仿宋_GB2312"/>
          <w:b/>
          <w:kern w:val="0"/>
          <w:sz w:val="32"/>
          <w:szCs w:val="32"/>
          <w:shd w:val="clear" w:color="auto" w:fill="FFFFFF"/>
          <w:lang w:bidi="ar"/>
        </w:rPr>
        <w:t>第八条（支持依据）</w:t>
      </w:r>
      <w:r>
        <w:rPr>
          <w:rFonts w:ascii="仿宋_GB2312" w:hAnsi="仿宋_GB2312" w:eastAsia="仿宋_GB2312" w:cs="仿宋_GB2312"/>
          <w:snapToGrid w:val="0"/>
          <w:kern w:val="0"/>
          <w:sz w:val="32"/>
          <w:szCs w:val="32"/>
          <w:lang w:bidi="ar"/>
        </w:rPr>
        <w:t xml:space="preserve">  </w:t>
      </w:r>
      <w:r>
        <w:rPr>
          <w:rFonts w:hint="eastAsia" w:ascii="仿宋_GB2312" w:hAnsi="仿宋_GB2312" w:eastAsia="仿宋_GB2312" w:cs="仿宋_GB2312"/>
          <w:snapToGrid w:val="0"/>
          <w:kern w:val="0"/>
          <w:sz w:val="32"/>
          <w:szCs w:val="32"/>
          <w:lang w:bidi="ar"/>
        </w:rPr>
        <w:t>本专项资金每项用途应有明确政策依据或制定相应政策，没有相关政策依据的原则上不得列入专项资金用途清单</w:t>
      </w:r>
      <w:r>
        <w:rPr>
          <w:rFonts w:hint="eastAsia" w:ascii="仿宋_GB2312" w:hAnsi="仿宋_GB2312" w:eastAsia="仿宋_GB2312" w:cs="仿宋_GB2312"/>
          <w:snapToGrid w:val="0"/>
          <w:kern w:val="0"/>
          <w:sz w:val="32"/>
          <w:szCs w:val="32"/>
          <w:lang w:eastAsia="zh-CN" w:bidi="ar"/>
        </w:rPr>
        <w:t>和部门预算</w:t>
      </w:r>
      <w:r>
        <w:rPr>
          <w:rFonts w:hint="eastAsia" w:ascii="仿宋_GB2312" w:hAnsi="仿宋_GB2312" w:eastAsia="仿宋_GB2312" w:cs="仿宋_GB2312"/>
          <w:snapToGrid w:val="0"/>
          <w:kern w:val="0"/>
          <w:sz w:val="32"/>
          <w:szCs w:val="32"/>
          <w:lang w:bidi="ar"/>
        </w:rPr>
        <w:t>。</w:t>
      </w:r>
    </w:p>
    <w:p>
      <w:pPr>
        <w:widowControl/>
        <w:shd w:val="clear" w:color="auto" w:fill="FFFFFF"/>
        <w:spacing w:line="560" w:lineRule="exact"/>
        <w:ind w:firstLine="630"/>
        <w:rPr>
          <w:rFonts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制定支持政策涉及专项资金的，应按照</w:t>
      </w:r>
      <w:r>
        <w:rPr>
          <w:rFonts w:hint="eastAsia" w:ascii="仿宋_GB2312" w:hAnsi="仿宋_GB2312" w:eastAsia="仿宋_GB2312" w:cs="仿宋_GB2312"/>
          <w:snapToGrid w:val="0"/>
          <w:kern w:val="0"/>
          <w:sz w:val="32"/>
          <w:szCs w:val="32"/>
        </w:rPr>
        <w:t>《广州市本级重大政策和项目财政立项预算评估管理办法(试行)》</w:t>
      </w:r>
      <w:r>
        <w:rPr>
          <w:rFonts w:hint="eastAsia" w:ascii="仿宋_GB2312" w:hAnsi="仿宋_GB2312" w:eastAsia="仿宋_GB2312" w:cs="仿宋_GB2312"/>
          <w:snapToGrid w:val="0"/>
          <w:kern w:val="0"/>
          <w:sz w:val="32"/>
          <w:szCs w:val="32"/>
          <w:lang w:bidi="ar"/>
        </w:rPr>
        <w:t>《广州市市级财政专项资金管理办法》等规定履行</w:t>
      </w:r>
      <w:r>
        <w:rPr>
          <w:rFonts w:hint="eastAsia" w:ascii="仿宋_GB2312" w:hAnsi="仿宋_GB2312" w:eastAsia="仿宋_GB2312" w:cs="仿宋_GB2312"/>
          <w:snapToGrid w:val="0"/>
          <w:kern w:val="0"/>
          <w:sz w:val="32"/>
          <w:szCs w:val="32"/>
        </w:rPr>
        <w:t>立项预算评估和报批</w:t>
      </w:r>
      <w:r>
        <w:rPr>
          <w:rFonts w:hint="eastAsia" w:ascii="仿宋_GB2312" w:hAnsi="仿宋_GB2312" w:eastAsia="仿宋_GB2312" w:cs="仿宋_GB2312"/>
          <w:snapToGrid w:val="0"/>
          <w:kern w:val="0"/>
          <w:sz w:val="32"/>
          <w:szCs w:val="32"/>
          <w:lang w:bidi="ar"/>
        </w:rPr>
        <w:t>手续。</w:t>
      </w:r>
    </w:p>
    <w:p>
      <w:pPr>
        <w:widowControl/>
        <w:shd w:val="clear" w:color="auto" w:fill="FFFFFF"/>
        <w:spacing w:line="560" w:lineRule="exact"/>
        <w:ind w:firstLine="630"/>
      </w:pPr>
      <w:r>
        <w:rPr>
          <w:rFonts w:hint="eastAsia" w:ascii="仿宋_GB2312" w:hAnsi="仿宋_GB2312" w:eastAsia="仿宋_GB2312" w:cs="仿宋_GB2312"/>
          <w:snapToGrid w:val="0"/>
          <w:kern w:val="0"/>
          <w:sz w:val="32"/>
          <w:szCs w:val="32"/>
          <w:lang w:bidi="ar"/>
        </w:rPr>
        <w:t>制定涉及专项资金的支持政策实施期限原则上不超过3年，最长不超过5年。到期确需继续实施的，提前开展研究论证和绩效评价，按规定办理到期延续和调整手续。</w:t>
      </w:r>
    </w:p>
    <w:p>
      <w:pPr>
        <w:widowControl/>
        <w:shd w:val="clear" w:color="auto" w:fill="FFFFFF"/>
        <w:spacing w:line="560" w:lineRule="exact"/>
        <w:ind w:firstLine="689"/>
        <w:rPr>
          <w:rFonts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如果支持项目为突发性、紧急性或特定性工作任务，可直接由市商务局制定分配方案后按规定报市政府审批。</w:t>
      </w:r>
    </w:p>
    <w:p>
      <w:pPr>
        <w:pStyle w:val="2"/>
        <w:spacing w:line="460" w:lineRule="exact"/>
        <w:ind w:left="0" w:leftChars="0" w:firstLine="708" w:firstLineChars="253"/>
        <w:rPr>
          <w:rFonts w:ascii="楷体_GB2312" w:eastAsia="楷体_GB2312"/>
          <w:sz w:val="28"/>
          <w:szCs w:val="28"/>
          <w:lang w:bidi="ar"/>
        </w:rPr>
      </w:pPr>
      <w:r>
        <w:rPr>
          <w:rFonts w:hint="eastAsia" w:ascii="楷体_GB2312" w:eastAsia="楷体_GB2312"/>
          <w:sz w:val="28"/>
          <w:szCs w:val="28"/>
          <w:lang w:bidi="ar"/>
        </w:rPr>
        <w:t>【说明】按照聚焦政策、统筹“事”和“钱”、“先有政策，后有资金”等管理要求，因此将原《办法》第九条有关制订专项资金配套实施细则内容，修改为制定相关政策。同时保留例外条款。</w:t>
      </w:r>
    </w:p>
    <w:p>
      <w:pPr>
        <w:widowControl/>
        <w:shd w:val="clear" w:color="auto" w:fill="FFFFFF"/>
        <w:spacing w:line="560" w:lineRule="exact"/>
        <w:ind w:firstLine="630"/>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第九条（支持对象条件）</w:t>
      </w:r>
      <w:r>
        <w:rPr>
          <w:rFonts w:hint="eastAsia" w:ascii="仿宋_GB2312" w:hAnsi="仿宋_GB2312" w:eastAsia="仿宋_GB2312" w:cs="仿宋_GB2312"/>
          <w:kern w:val="0"/>
          <w:sz w:val="32"/>
          <w:szCs w:val="32"/>
          <w:shd w:val="clear" w:color="auto" w:fill="FFFFFF"/>
          <w:lang w:bidi="ar"/>
        </w:rPr>
        <w:t>  本专项资金政策支持对象应当符合以下基本条件：</w:t>
      </w:r>
    </w:p>
    <w:p>
      <w:pPr>
        <w:widowControl/>
        <w:shd w:val="clear" w:color="auto" w:fill="FFFFFF"/>
        <w:spacing w:line="560" w:lineRule="exact"/>
        <w:ind w:firstLine="689"/>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（一）依法登记注册的企事业单位、社会团体或其他符合规定的组织或个人。</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（二）按照有关规定经国家有关部门核准或备案，或已取得开展相关业务的资质；在境外开展业务的，还应当在项目所在国家或地区已依法注册或办理合法手续，项目合同或合作协议已生效。</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（三）依据信用管理部门规定，未被列入“失信联合惩戒黑名单”。</w:t>
      </w:r>
    </w:p>
    <w:p>
      <w:pPr>
        <w:pStyle w:val="2"/>
        <w:ind w:left="0" w:leftChars="0" w:firstLine="707" w:firstLineChars="221"/>
        <w:rPr>
          <w:lang w:bidi="ar"/>
        </w:rPr>
      </w:pPr>
      <w:r>
        <w:rPr>
          <w:rFonts w:hint="eastAsia" w:ascii="仿宋_GB2312" w:hAnsi="仿宋_GB2312" w:eastAsia="仿宋_GB2312" w:cs="仿宋_GB2312"/>
          <w:kern w:val="0"/>
          <w:sz w:val="32"/>
          <w:szCs w:val="32"/>
          <w:shd w:val="clear" w:color="auto" w:fill="FFFFFF"/>
          <w:lang w:bidi="ar"/>
        </w:rPr>
        <w:t>（四）其他按规定应满足的条件。</w:t>
      </w:r>
    </w:p>
    <w:p>
      <w:pPr>
        <w:pStyle w:val="2"/>
        <w:spacing w:line="460" w:lineRule="exact"/>
        <w:ind w:left="0" w:leftChars="0" w:firstLine="708" w:firstLineChars="253"/>
        <w:rPr>
          <w:lang w:bidi="ar"/>
        </w:rPr>
      </w:pPr>
      <w:r>
        <w:rPr>
          <w:rFonts w:hint="eastAsia" w:ascii="楷体_GB2312" w:eastAsia="楷体_GB2312"/>
          <w:sz w:val="28"/>
          <w:szCs w:val="28"/>
          <w:lang w:bidi="ar"/>
        </w:rPr>
        <w:t>【说明】原《办法》第三章申报人基本条件提到本章，考虑到免申即享政策，将申报人基本条件改为支持对象条件。</w:t>
      </w:r>
    </w:p>
    <w:p>
      <w:pPr>
        <w:widowControl/>
        <w:shd w:val="clear" w:color="auto" w:fill="FFFFFF"/>
        <w:spacing w:line="560" w:lineRule="exact"/>
        <w:ind w:firstLine="630"/>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第十条（支持方式）</w:t>
      </w:r>
      <w:r>
        <w:rPr>
          <w:rFonts w:hint="eastAsia" w:ascii="微软雅黑" w:hAnsi="微软雅黑" w:eastAsia="微软雅黑"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本专项资金可采取补助（事前或事后）、奖励、贴息、风险补偿以及其它符合相关规定的支持方式。</w:t>
      </w:r>
    </w:p>
    <w:p>
      <w:pPr>
        <w:pStyle w:val="2"/>
        <w:spacing w:line="560" w:lineRule="exact"/>
        <w:ind w:left="0" w:leftChars="0" w:firstLine="419" w:firstLineChars="131"/>
      </w:pPr>
      <w:r>
        <w:rPr>
          <w:rFonts w:hint="eastAsia" w:ascii="仿宋_GB2312" w:hAnsi="仿宋_GB2312" w:eastAsia="仿宋_GB2312" w:cs="仿宋_GB2312"/>
          <w:kern w:val="0"/>
          <w:sz w:val="32"/>
          <w:szCs w:val="32"/>
          <w:shd w:val="clear" w:color="auto" w:fill="FFFFFF"/>
          <w:lang w:bidi="ar"/>
        </w:rPr>
        <w:t>专项资金支持的投资建设类项目应以企业资金为主，对投资建设类补助项目财政支持资金原则上不超过项目总投资额的30%。</w:t>
      </w:r>
    </w:p>
    <w:p>
      <w:pPr>
        <w:pStyle w:val="2"/>
        <w:spacing w:line="560" w:lineRule="exact"/>
        <w:ind w:left="0" w:leftChars="0" w:firstLine="566" w:firstLineChars="177"/>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对于市委、市政府决定支持的市级重大招商项目、重点企业（项目），可按“一事一议”方式安排专项资金支持。</w:t>
      </w:r>
    </w:p>
    <w:p>
      <w:pPr>
        <w:pStyle w:val="2"/>
        <w:spacing w:line="460" w:lineRule="exact"/>
        <w:ind w:left="0" w:leftChars="0" w:firstLine="560" w:firstLineChars="200"/>
        <w:rPr>
          <w:rFonts w:ascii="微软雅黑" w:hAnsi="微软雅黑" w:eastAsia="微软雅黑" w:cs="微软雅黑"/>
          <w:sz w:val="32"/>
          <w:szCs w:val="32"/>
        </w:rPr>
      </w:pPr>
      <w:r>
        <w:rPr>
          <w:rFonts w:hint="eastAsia" w:ascii="楷体_GB2312" w:eastAsia="楷体_GB2312"/>
          <w:sz w:val="28"/>
          <w:szCs w:val="28"/>
          <w:lang w:bidi="ar"/>
        </w:rPr>
        <w:t>【说明】将原《办法》支持方式条款按“因素法”分配删除，保留按项目支持方式。同时，根据《广州市产业发展资金管理办法》（穗府办规〔2021〕19号）第十五条规定增加第二款、第三款。</w:t>
      </w:r>
    </w:p>
    <w:p>
      <w:pPr>
        <w:pStyle w:val="3"/>
        <w:spacing w:before="0" w:after="0" w:line="960" w:lineRule="auto"/>
        <w:jc w:val="center"/>
        <w:rPr>
          <w:rFonts w:ascii="黑体" w:hAnsi="黑体" w:eastAsia="黑体"/>
          <w:b w:val="0"/>
          <w:sz w:val="32"/>
          <w:szCs w:val="32"/>
          <w:shd w:val="clear" w:color="auto" w:fill="FFFFFF"/>
          <w:lang w:bidi="ar"/>
        </w:rPr>
      </w:pPr>
      <w:r>
        <w:rPr>
          <w:rFonts w:hint="eastAsia" w:ascii="黑体" w:hAnsi="黑体" w:eastAsia="黑体"/>
          <w:b w:val="0"/>
          <w:sz w:val="32"/>
          <w:szCs w:val="32"/>
          <w:shd w:val="clear" w:color="auto" w:fill="FFFFFF"/>
          <w:lang w:bidi="ar"/>
        </w:rPr>
        <w:t>第三章</w:t>
      </w:r>
      <w:r>
        <w:rPr>
          <w:rFonts w:ascii="黑体" w:hAnsi="黑体" w:eastAsia="黑体"/>
          <w:b w:val="0"/>
          <w:sz w:val="32"/>
          <w:szCs w:val="32"/>
          <w:shd w:val="clear" w:color="auto" w:fill="FFFFFF"/>
          <w:lang w:bidi="ar"/>
        </w:rPr>
        <w:t xml:space="preserve"> </w:t>
      </w:r>
      <w:r>
        <w:rPr>
          <w:rFonts w:hint="eastAsia" w:ascii="黑体" w:hAnsi="黑体" w:eastAsia="黑体"/>
          <w:b w:val="0"/>
          <w:sz w:val="32"/>
          <w:szCs w:val="32"/>
          <w:shd w:val="clear" w:color="auto" w:fill="FFFFFF"/>
          <w:lang w:bidi="ar"/>
        </w:rPr>
        <w:t>项目管理</w:t>
      </w:r>
    </w:p>
    <w:p>
      <w:pPr>
        <w:widowControl/>
        <w:shd w:val="clear" w:color="auto" w:fill="FFFFFF"/>
        <w:spacing w:line="560" w:lineRule="exact"/>
        <w:ind w:firstLine="630"/>
        <w:rPr>
          <w:rFonts w:ascii="仿宋_GB2312" w:hAnsi="仿宋_GB2312" w:eastAsia="仿宋_GB2312" w:cs="仿宋_GB2312"/>
          <w:snapToGrid w:val="0"/>
          <w:kern w:val="0"/>
          <w:sz w:val="32"/>
          <w:szCs w:val="32"/>
          <w:lang w:bidi="ar"/>
        </w:rPr>
      </w:pPr>
      <w:r>
        <w:rPr>
          <w:rFonts w:hint="eastAsia" w:ascii="微软雅黑" w:hAnsi="微软雅黑" w:eastAsia="微软雅黑" w:cs="微软雅黑"/>
          <w:b/>
          <w:kern w:val="0"/>
          <w:sz w:val="32"/>
          <w:szCs w:val="32"/>
          <w:shd w:val="clear" w:color="auto" w:fill="FFFFFF"/>
          <w:lang w:bidi="ar"/>
        </w:rPr>
        <w:t> </w:t>
      </w:r>
      <w:r>
        <w:rPr>
          <w:rFonts w:hint="eastAsia" w:ascii="楷体_GB2312" w:hAnsi="仿宋_GB2312" w:eastAsia="楷体_GB2312" w:cs="仿宋_GB2312"/>
          <w:b/>
          <w:kern w:val="0"/>
          <w:sz w:val="32"/>
          <w:szCs w:val="32"/>
          <w:shd w:val="clear" w:color="auto" w:fill="FFFFFF"/>
          <w:lang w:bidi="ar"/>
        </w:rPr>
        <w:t>第十一条（分配方式）</w:t>
      </w:r>
      <w:r>
        <w:rPr>
          <w:rFonts w:ascii="仿宋_GB2312" w:hAnsi="仿宋_GB2312" w:eastAsia="仿宋_GB2312" w:cs="仿宋_GB2312"/>
          <w:snapToGrid w:val="0"/>
          <w:kern w:val="0"/>
          <w:sz w:val="32"/>
          <w:szCs w:val="32"/>
          <w:lang w:bidi="ar"/>
        </w:rPr>
        <w:t xml:space="preserve"> </w:t>
      </w:r>
      <w:r>
        <w:rPr>
          <w:rFonts w:hint="eastAsia" w:ascii="仿宋_GB2312" w:hAnsi="仿宋_GB2312" w:eastAsia="仿宋_GB2312" w:cs="仿宋_GB2312"/>
          <w:snapToGrid w:val="0"/>
          <w:kern w:val="0"/>
          <w:sz w:val="32"/>
          <w:szCs w:val="32"/>
          <w:lang w:bidi="ar"/>
        </w:rPr>
        <w:t xml:space="preserve"> 按照申请和评审方式不同，本专项资金分配实行“免审即享”和“申报”两种方式。</w:t>
      </w:r>
    </w:p>
    <w:p>
      <w:pPr>
        <w:pStyle w:val="2"/>
        <w:spacing w:line="560" w:lineRule="exact"/>
        <w:ind w:left="0" w:leftChars="0" w:firstLine="566" w:firstLineChars="177"/>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（一）免申即享。对于政策标准化高、认定对象清晰、系统能够自动比对审核的支持项目，均</w:t>
      </w:r>
      <w:r>
        <w:rPr>
          <w:rFonts w:hint="eastAsia" w:ascii="仿宋_GB2312" w:hAnsi="仿宋_GB2312" w:eastAsia="仿宋_GB2312" w:cs="仿宋_GB2312"/>
          <w:kern w:val="0"/>
          <w:sz w:val="32"/>
          <w:szCs w:val="32"/>
          <w:shd w:val="clear" w:color="auto" w:fill="FFFFFF"/>
          <w:lang w:bidi="ar"/>
        </w:rPr>
        <w:t>通过政府部门信息共享、系统自动匹配、平台自动审核等方式，实现符合条件的免予申报、直接享受政策，资金直达</w:t>
      </w:r>
      <w:r>
        <w:rPr>
          <w:rFonts w:ascii="仿宋_GB2312" w:hAnsi="仿宋_GB2312" w:eastAsia="仿宋_GB2312" w:cs="仿宋_GB2312"/>
          <w:kern w:val="0"/>
          <w:sz w:val="32"/>
          <w:szCs w:val="32"/>
          <w:shd w:val="clear" w:color="auto" w:fill="FFFFFF"/>
          <w:lang w:bidi="ar"/>
        </w:rPr>
        <w:t>支持对象</w:t>
      </w:r>
      <w:r>
        <w:rPr>
          <w:rFonts w:hint="eastAsia" w:ascii="仿宋_GB2312" w:hAnsi="仿宋_GB2312" w:eastAsia="仿宋_GB2312" w:cs="仿宋_GB2312"/>
          <w:kern w:val="0"/>
          <w:sz w:val="32"/>
          <w:szCs w:val="32"/>
          <w:shd w:val="clear" w:color="auto" w:fill="FFFFFF"/>
          <w:lang w:bidi="ar"/>
        </w:rPr>
        <w:t>。</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（二）申报。除免申即享的支持政策外，由符合条件的支持对象按要求申报，经市、区商务主管部门审核或委托第三方机构评审、审批、公示等程序后，再按规定向支持对象拨付资金。</w:t>
      </w:r>
    </w:p>
    <w:p>
      <w:pPr>
        <w:pStyle w:val="2"/>
        <w:spacing w:line="460" w:lineRule="exact"/>
        <w:ind w:left="0" w:leftChars="0" w:firstLine="708" w:firstLineChars="253"/>
        <w:rPr>
          <w:rFonts w:ascii="楷体_GB2312" w:eastAsia="楷体_GB2312"/>
          <w:sz w:val="28"/>
          <w:szCs w:val="28"/>
          <w:lang w:bidi="ar"/>
        </w:rPr>
      </w:pPr>
      <w:r>
        <w:rPr>
          <w:rFonts w:hint="eastAsia" w:ascii="楷体_GB2312" w:eastAsia="楷体_GB2312"/>
          <w:sz w:val="28"/>
          <w:szCs w:val="28"/>
          <w:lang w:bidi="ar"/>
        </w:rPr>
        <w:t>【说明】根据《国务院办公厅关于进一步优化营商环境更好服务市场主体的实施意见》（国办发〔2020〕24号）第二十条关于“鼓励推行惠企政策免申即享”规定，在原《办法》按“申报制”分配基础上，增加并优先采用“免申即享”分配方式。</w:t>
      </w:r>
    </w:p>
    <w:p>
      <w:pPr>
        <w:widowControl/>
        <w:shd w:val="clear" w:color="auto" w:fill="FFFFFF"/>
        <w:spacing w:line="560" w:lineRule="exact"/>
        <w:ind w:firstLine="630"/>
        <w:rPr>
          <w:rFonts w:ascii="仿宋_GB2312" w:hAnsi="微软雅黑" w:eastAsia="仿宋_GB2312" w:cs="微软雅黑"/>
          <w:sz w:val="32"/>
          <w:szCs w:val="32"/>
        </w:rPr>
      </w:pPr>
      <w:r>
        <w:rPr>
          <w:rFonts w:hint="eastAsia" w:ascii="楷体_GB2312" w:hAnsi="仿宋_GB2312" w:eastAsia="楷体_GB2312" w:cs="仿宋_GB2312"/>
          <w:b/>
          <w:kern w:val="0"/>
          <w:sz w:val="32"/>
          <w:szCs w:val="32"/>
          <w:shd w:val="clear" w:color="auto" w:fill="FFFFFF"/>
          <w:lang w:bidi="ar"/>
        </w:rPr>
        <w:t>第十二条（申报指南）</w:t>
      </w:r>
      <w:r>
        <w:rPr>
          <w:rFonts w:hint="eastAsia" w:ascii="仿宋_GB2312" w:hAnsi="微软雅黑" w:eastAsia="仿宋_GB2312" w:cs="微软雅黑"/>
          <w:b/>
          <w:kern w:val="0"/>
          <w:sz w:val="32"/>
          <w:szCs w:val="32"/>
          <w:shd w:val="clear" w:color="auto" w:fill="FFFFFF"/>
          <w:lang w:bidi="ar"/>
        </w:rPr>
        <w:t> </w:t>
      </w:r>
      <w:r>
        <w:rPr>
          <w:rFonts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对实行申报的项目，在每次项目申报前，市、区商务主管部门应发布申报指南（或通知），明确申报对象、资金使用范围、申报条件、支持方式和标准、申报程序与要求、联系方式等内容。</w:t>
      </w:r>
    </w:p>
    <w:p>
      <w:pPr>
        <w:pStyle w:val="2"/>
        <w:spacing w:line="560" w:lineRule="exact"/>
        <w:ind w:left="0" w:leftChars="0" w:firstLine="566" w:firstLineChars="177"/>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符合条件的单位或个人（简称</w:t>
      </w:r>
      <w:r>
        <w:rPr>
          <w:rFonts w:hint="eastAsia" w:ascii="仿宋_GB2312" w:hAnsi="微软雅黑" w:eastAsia="仿宋_GB2312" w:cs="微软雅黑"/>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申报人</w:t>
      </w:r>
      <w:r>
        <w:rPr>
          <w:rFonts w:hint="eastAsia" w:ascii="仿宋_GB2312" w:hAnsi="微软雅黑" w:eastAsia="仿宋_GB2312" w:cs="微软雅黑"/>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）均可按相关规定和申报指南（通知）要求申报本专项资金项目。</w:t>
      </w:r>
    </w:p>
    <w:p>
      <w:pPr>
        <w:pStyle w:val="2"/>
        <w:spacing w:line="460" w:lineRule="exact"/>
        <w:ind w:left="0" w:leftChars="0" w:firstLine="708" w:firstLineChars="253"/>
        <w:rPr>
          <w:rFonts w:ascii="楷体_GB2312" w:eastAsia="楷体_GB2312"/>
          <w:sz w:val="28"/>
          <w:szCs w:val="28"/>
          <w:lang w:bidi="ar"/>
        </w:rPr>
      </w:pPr>
      <w:r>
        <w:rPr>
          <w:rFonts w:hint="eastAsia" w:ascii="楷体_GB2312" w:eastAsia="楷体_GB2312"/>
          <w:sz w:val="28"/>
          <w:szCs w:val="28"/>
          <w:lang w:bidi="ar"/>
        </w:rPr>
        <w:t>【说明】基本按原《办法》表述。</w:t>
      </w:r>
    </w:p>
    <w:p>
      <w:pPr>
        <w:widowControl/>
        <w:shd w:val="clear" w:color="auto" w:fill="FFFFFF"/>
        <w:spacing w:line="560" w:lineRule="exact"/>
        <w:ind w:firstLine="692"/>
        <w:rPr>
          <w:rFonts w:ascii="仿宋_GB2312" w:hAnsi="微软雅黑" w:eastAsia="仿宋_GB2312" w:cs="微软雅黑"/>
          <w:sz w:val="32"/>
          <w:szCs w:val="32"/>
        </w:rPr>
      </w:pPr>
      <w:r>
        <w:rPr>
          <w:rFonts w:hint="eastAsia" w:ascii="楷体_GB2312" w:hAnsi="仿宋_GB2312" w:eastAsia="楷体_GB2312" w:cs="仿宋_GB2312"/>
          <w:b/>
          <w:kern w:val="0"/>
          <w:sz w:val="32"/>
          <w:szCs w:val="32"/>
          <w:shd w:val="clear" w:color="auto" w:fill="FFFFFF"/>
          <w:lang w:bidi="ar"/>
        </w:rPr>
        <w:t>第十三条（申报基本要求）</w:t>
      </w:r>
      <w:r>
        <w:rPr>
          <w:rFonts w:hint="eastAsia" w:ascii="仿宋_GB2312" w:hAnsi="微软雅黑" w:eastAsia="仿宋_GB2312"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申报人申报项目应当符合以下基本要求：</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（一）符合相关政策、资金管理办法和申报指南规定的支持对象、用途范围、申报条件等，不得跨范围申报专项资金。</w:t>
      </w:r>
    </w:p>
    <w:p>
      <w:pPr>
        <w:pStyle w:val="2"/>
        <w:spacing w:line="560" w:lineRule="exact"/>
        <w:ind w:left="0" w:leftChars="0" w:firstLine="707" w:firstLineChars="221"/>
        <w:rPr>
          <w:lang w:bidi="ar"/>
        </w:rPr>
      </w:pPr>
      <w:r>
        <w:rPr>
          <w:rFonts w:hint="eastAsia" w:ascii="仿宋_GB2312" w:eastAsia="仿宋_GB2312"/>
          <w:sz w:val="32"/>
          <w:szCs w:val="32"/>
        </w:rPr>
        <w:t>（二）项目计划任务、实施方案切实可行，绩效目标明确清晰、科学合理。</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（三）一个项目原则上只能申请一项专项资金，申报人不得以同一项目重复申报或多头申报专项资金。同一项目确因特殊情况需申报多项专项资金的，必须在申报材料中注明原因。</w:t>
      </w:r>
    </w:p>
    <w:p>
      <w:pPr>
        <w:pStyle w:val="2"/>
        <w:spacing w:line="560" w:lineRule="exact"/>
        <w:ind w:left="0" w:leftChars="0" w:firstLine="707" w:firstLineChars="221"/>
        <w:rPr>
          <w:lang w:bidi="ar"/>
        </w:rPr>
      </w:pPr>
      <w:r>
        <w:rPr>
          <w:rFonts w:hint="eastAsia" w:ascii="仿宋_GB2312" w:eastAsia="仿宋_GB2312"/>
          <w:sz w:val="32"/>
          <w:szCs w:val="32"/>
        </w:rPr>
        <w:t>（四）申请人（含集团公司、金融机构等集中征集项目</w:t>
      </w:r>
      <w:r>
        <w:rPr>
          <w:rFonts w:hint="eastAsia" w:ascii="仿宋_GB2312" w:eastAsia="仿宋_GB2312"/>
          <w:sz w:val="32"/>
          <w:szCs w:val="32"/>
          <w:lang w:val="en-US" w:eastAsia="zh-CN"/>
        </w:rPr>
        <w:t>的</w:t>
      </w:r>
      <w:r>
        <w:rPr>
          <w:rFonts w:hint="eastAsia" w:ascii="仿宋_GB2312" w:eastAsia="仿宋_GB2312"/>
          <w:sz w:val="32"/>
          <w:szCs w:val="32"/>
        </w:rPr>
        <w:t>机构）依据专项资金申报指南要求，通过</w:t>
      </w:r>
      <w:r>
        <w:rPr>
          <w:rFonts w:hint="eastAsia" w:ascii="仿宋_GB2312" w:hAnsi="仿宋_GB2312" w:eastAsia="仿宋_GB2312" w:cs="仿宋_GB2312"/>
          <w:kern w:val="0"/>
          <w:sz w:val="32"/>
          <w:szCs w:val="32"/>
          <w:shd w:val="clear" w:color="auto" w:fill="FFFFFF"/>
          <w:lang w:bidi="ar"/>
        </w:rPr>
        <w:t>广州市政策兑现服务信息管理平台（广东政务服务网广州市）</w:t>
      </w:r>
      <w:r>
        <w:rPr>
          <w:rFonts w:hint="eastAsia" w:ascii="仿宋_GB2312" w:eastAsia="仿宋_GB2312"/>
          <w:sz w:val="32"/>
          <w:szCs w:val="32"/>
          <w:lang w:eastAsia="zh-CN"/>
        </w:rPr>
        <w:t>进行</w:t>
      </w:r>
      <w:r>
        <w:rPr>
          <w:rFonts w:hint="eastAsia" w:ascii="仿宋_GB2312" w:eastAsia="仿宋_GB2312"/>
          <w:sz w:val="32"/>
          <w:szCs w:val="32"/>
        </w:rPr>
        <w:t>线上申报</w:t>
      </w:r>
      <w:r>
        <w:rPr>
          <w:rFonts w:hint="eastAsia" w:ascii="仿宋_GB2312" w:eastAsia="仿宋_GB2312"/>
          <w:sz w:val="32"/>
          <w:szCs w:val="32"/>
          <w:lang w:eastAsia="zh-CN"/>
        </w:rPr>
        <w:t>，按要求在线上或窗口</w:t>
      </w:r>
      <w:r>
        <w:rPr>
          <w:rFonts w:hint="eastAsia" w:ascii="仿宋_GB2312" w:eastAsia="仿宋_GB2312"/>
          <w:sz w:val="32"/>
          <w:szCs w:val="32"/>
        </w:rPr>
        <w:t>递交申请资料，包括纸质资料和电子资料等。</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（五）申报项目材料必须真实、准确和完整，不得弄虚作假套取、骗取财政专项资金。</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（六）申请人在申报时应按要求对有关义务作出承诺，并承担违法违规违约责任。 </w:t>
      </w:r>
    </w:p>
    <w:p>
      <w:pPr>
        <w:pStyle w:val="2"/>
        <w:spacing w:line="460" w:lineRule="exact"/>
        <w:ind w:left="0" w:leftChars="0" w:firstLine="708" w:firstLineChars="253"/>
        <w:rPr>
          <w:lang w:bidi="ar"/>
        </w:rPr>
      </w:pPr>
      <w:r>
        <w:rPr>
          <w:rFonts w:hint="eastAsia" w:ascii="楷体_GB2312" w:eastAsia="楷体_GB2312"/>
          <w:sz w:val="28"/>
          <w:szCs w:val="28"/>
          <w:lang w:bidi="ar"/>
        </w:rPr>
        <w:t>【说明】根据《广州市市级财政专项资金管理办法》第十三条进行修改。同时按照“政策兑现”集成服务要求，对第（四）项修改为进行线上申报并递交申请资料。</w:t>
      </w:r>
    </w:p>
    <w:p>
      <w:pPr>
        <w:widowControl/>
        <w:shd w:val="clear" w:color="auto" w:fill="FFFFFF"/>
        <w:spacing w:line="56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　　</w:t>
      </w:r>
      <w:r>
        <w:rPr>
          <w:rFonts w:hint="eastAsia" w:ascii="楷体_GB2312" w:hAnsi="仿宋_GB2312" w:eastAsia="楷体_GB2312" w:cs="仿宋_GB2312"/>
          <w:b/>
          <w:kern w:val="0"/>
          <w:sz w:val="32"/>
          <w:szCs w:val="32"/>
          <w:shd w:val="clear" w:color="auto" w:fill="FFFFFF"/>
          <w:lang w:bidi="ar"/>
        </w:rPr>
        <w:t>第十四条（审核评估）</w:t>
      </w:r>
      <w:r>
        <w:rPr>
          <w:rFonts w:hint="eastAsia" w:ascii="仿宋_GB2312" w:hAnsi="仿宋_GB2312" w:eastAsia="仿宋_GB2312" w:cs="仿宋_GB2312"/>
          <w:kern w:val="0"/>
          <w:sz w:val="32"/>
          <w:szCs w:val="32"/>
          <w:shd w:val="clear" w:color="auto" w:fill="FFFFFF"/>
          <w:lang w:bidi="ar"/>
        </w:rPr>
        <w:t> 按照项目不同审批权限，对申报项目实行分层级审核。</w:t>
      </w:r>
    </w:p>
    <w:p>
      <w:pPr>
        <w:widowControl/>
        <w:shd w:val="clear" w:color="auto" w:fill="FFFFFF"/>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（一）对保留市级审批权限的专项资金项目，按以下程序组织审核：</w:t>
      </w:r>
    </w:p>
    <w:p>
      <w:pPr>
        <w:widowControl/>
        <w:shd w:val="clear" w:color="auto" w:fill="FFFFFF"/>
        <w:spacing w:line="560" w:lineRule="exact"/>
        <w:ind w:firstLine="640"/>
        <w:rPr>
          <w:rFonts w:ascii="仿宋_GB2312" w:hAnsi="微软雅黑" w:eastAsia="仿宋_GB2312" w:cs="微软雅黑"/>
          <w:sz w:val="32"/>
          <w:szCs w:val="32"/>
        </w:rPr>
      </w:pPr>
      <w:r>
        <w:rPr>
          <w:rFonts w:hint="eastAsia" w:ascii="仿宋_GB2312" w:hAnsi="仿宋_GB2312" w:eastAsia="仿宋_GB2312" w:cs="仿宋_GB2312"/>
          <w:kern w:val="0"/>
          <w:sz w:val="32"/>
          <w:szCs w:val="32"/>
          <w:shd w:val="clear" w:color="auto" w:fill="FFFFFF"/>
          <w:lang w:bidi="ar"/>
        </w:rPr>
        <w:t>项目初审。经区、金融机构、市属国有企业集团等征集项目的，分别由各区商务主管部门、金融机构、集团公司对本辖区、本机构、本集团所属（服务）项目申报材料进行初审，并汇总推荐上报市商务局。</w:t>
      </w:r>
    </w:p>
    <w:p>
      <w:pPr>
        <w:widowControl/>
        <w:shd w:val="clear" w:color="auto" w:fill="FFFFFF"/>
        <w:spacing w:line="560" w:lineRule="exact"/>
        <w:ind w:firstLine="624"/>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项目复核。市商务局对初审机构征集报送项目进行复核；由市商务局直接征集项目的，由市商务局进行审核。</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项目评审。市商务局采取委托中介机构、组织专家或内部评审等方式对项目申报材料进行评审，必要时延伸到现场核实。对经济、社会和民生有重大影响的专项资金，应组织专家论证、委托第三方机构评审。</w:t>
      </w:r>
    </w:p>
    <w:p>
      <w:pPr>
        <w:widowControl/>
        <w:shd w:val="clear" w:color="auto" w:fill="FFFFFF"/>
        <w:spacing w:line="560" w:lineRule="exact"/>
        <w:ind w:firstLine="64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在项目审核过程中，应按相关规定通过“广州市财政专项资金查重系统”、信用主管部门等平台和机构，对申报主体资格、信用状况和项目合规性开展核查。</w:t>
      </w:r>
    </w:p>
    <w:p>
      <w:pPr>
        <w:spacing w:line="560" w:lineRule="exact"/>
        <w:ind w:firstLine="560" w:firstLineChars="175"/>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（二）对下放区审批权限的专项资金项目，由各区商务主管部门参照本条第（一）项程序组织评审，市商务局相关业务部门予以指导。</w:t>
      </w:r>
    </w:p>
    <w:p>
      <w:pPr>
        <w:pStyle w:val="2"/>
        <w:spacing w:line="460" w:lineRule="exact"/>
        <w:ind w:left="0" w:leftChars="0" w:firstLine="700" w:firstLineChars="250"/>
        <w:rPr>
          <w:lang w:bidi="ar"/>
        </w:rPr>
      </w:pPr>
      <w:r>
        <w:rPr>
          <w:rFonts w:hint="eastAsia" w:ascii="楷体_GB2312" w:eastAsia="楷体_GB2312"/>
          <w:sz w:val="28"/>
          <w:szCs w:val="28"/>
          <w:lang w:bidi="ar"/>
        </w:rPr>
        <w:t>【说明】在原《办法》第十四条基础上增加第二项，适应“放管服”改革中下放区审批的专项资金管理需要。</w:t>
      </w:r>
    </w:p>
    <w:p>
      <w:pPr>
        <w:widowControl/>
        <w:shd w:val="clear" w:color="auto" w:fill="FFFFFF"/>
        <w:spacing w:line="560" w:lineRule="exact"/>
        <w:ind w:firstLine="626"/>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第十五条（项目公示）</w:t>
      </w:r>
      <w:r>
        <w:rPr>
          <w:rFonts w:hint="eastAsia" w:ascii="仿宋_GB2312" w:hAnsi="仿宋_GB2312" w:eastAsia="仿宋_GB2312" w:cs="仿宋_GB2312"/>
          <w:b/>
          <w:kern w:val="0"/>
          <w:sz w:val="32"/>
          <w:szCs w:val="32"/>
          <w:shd w:val="clear" w:color="auto" w:fill="FFFFFF"/>
          <w:lang w:bidi="ar"/>
        </w:rPr>
        <w:t xml:space="preserve"> </w:t>
      </w:r>
      <w:r>
        <w:rPr>
          <w:rFonts w:hint="eastAsia" w:ascii="仿宋_GB2312" w:hAnsi="微软雅黑" w:eastAsia="仿宋_GB2312"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除需要保密或涉及重大敏感的项目外，对免审即享和经申请审核初步通过拟安排的项目，由负责审批的市、区商主管部门在各自门户网站向社会公示</w:t>
      </w:r>
      <w:r>
        <w:rPr>
          <w:rFonts w:ascii="仿宋_GB2312" w:hAnsi="微软雅黑" w:eastAsia="仿宋_GB2312" w:cs="微软雅黑"/>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个工作日。对公示有异议的项目，由市、区商务主管部门在</w:t>
      </w:r>
      <w:r>
        <w:rPr>
          <w:rFonts w:ascii="仿宋_GB2312" w:hAnsi="微软雅黑" w:eastAsia="仿宋_GB2312" w:cs="微软雅黑"/>
          <w:kern w:val="0"/>
          <w:sz w:val="32"/>
          <w:szCs w:val="32"/>
          <w:shd w:val="clear" w:color="auto" w:fill="FFFFFF"/>
          <w:lang w:bidi="ar"/>
        </w:rPr>
        <w:t>15</w:t>
      </w:r>
      <w:r>
        <w:rPr>
          <w:rFonts w:hint="eastAsia" w:ascii="仿宋_GB2312" w:hAnsi="仿宋_GB2312" w:eastAsia="仿宋_GB2312" w:cs="仿宋_GB2312"/>
          <w:kern w:val="0"/>
          <w:sz w:val="32"/>
          <w:szCs w:val="32"/>
          <w:shd w:val="clear" w:color="auto" w:fill="FFFFFF"/>
          <w:lang w:bidi="ar"/>
        </w:rPr>
        <w:t>个工作日内组织重审，对</w:t>
      </w:r>
      <w:r>
        <w:rPr>
          <w:rFonts w:hint="eastAsia" w:ascii="仿宋_GB2312" w:hAnsi="仿宋_GB2312" w:eastAsia="仿宋_GB2312" w:cs="仿宋_GB2312"/>
          <w:kern w:val="0"/>
          <w:sz w:val="32"/>
          <w:szCs w:val="32"/>
          <w:shd w:val="clear" w:color="auto" w:fill="FFFFFF"/>
          <w:lang w:eastAsia="zh-CN" w:bidi="ar"/>
        </w:rPr>
        <w:t>经</w:t>
      </w:r>
      <w:r>
        <w:rPr>
          <w:rFonts w:hint="eastAsia" w:ascii="仿宋_GB2312" w:hAnsi="仿宋_GB2312" w:eastAsia="仿宋_GB2312" w:cs="仿宋_GB2312"/>
          <w:kern w:val="0"/>
          <w:sz w:val="32"/>
          <w:szCs w:val="32"/>
          <w:shd w:val="clear" w:color="auto" w:fill="FFFFFF"/>
          <w:lang w:bidi="ar"/>
        </w:rPr>
        <w:t>重审认定</w:t>
      </w:r>
      <w:r>
        <w:rPr>
          <w:rFonts w:hint="eastAsia" w:ascii="仿宋_GB2312" w:hAnsi="仿宋_GB2312" w:eastAsia="仿宋_GB2312" w:cs="仿宋_GB2312"/>
          <w:kern w:val="0"/>
          <w:sz w:val="32"/>
          <w:szCs w:val="32"/>
          <w:shd w:val="clear" w:color="auto" w:fill="FFFFFF"/>
          <w:lang w:eastAsia="zh-CN" w:bidi="ar"/>
        </w:rPr>
        <w:t>不符合要求</w:t>
      </w:r>
      <w:r>
        <w:rPr>
          <w:rFonts w:hint="eastAsia" w:ascii="仿宋_GB2312" w:hAnsi="仿宋_GB2312" w:eastAsia="仿宋_GB2312" w:cs="仿宋_GB2312"/>
          <w:kern w:val="0"/>
          <w:sz w:val="32"/>
          <w:szCs w:val="32"/>
          <w:shd w:val="clear" w:color="auto" w:fill="FFFFFF"/>
          <w:lang w:bidi="ar"/>
        </w:rPr>
        <w:t>的项目不予支持。</w:t>
      </w:r>
    </w:p>
    <w:p>
      <w:pPr>
        <w:pStyle w:val="2"/>
        <w:spacing w:line="460" w:lineRule="exact"/>
        <w:ind w:left="0" w:leftChars="0" w:firstLine="700" w:firstLineChars="250"/>
        <w:rPr>
          <w:lang w:bidi="ar"/>
        </w:rPr>
      </w:pPr>
      <w:r>
        <w:rPr>
          <w:rFonts w:hint="eastAsia" w:ascii="楷体_GB2312" w:eastAsia="楷体_GB2312"/>
          <w:sz w:val="28"/>
          <w:szCs w:val="28"/>
          <w:lang w:bidi="ar"/>
        </w:rPr>
        <w:t>【说明】略修改相关表述。</w:t>
      </w:r>
    </w:p>
    <w:p>
      <w:pPr>
        <w:widowControl/>
        <w:shd w:val="clear" w:color="auto" w:fill="FFFFFF"/>
        <w:spacing w:line="560" w:lineRule="exact"/>
        <w:ind w:firstLine="626"/>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第十六条（项目库管理）</w:t>
      </w:r>
      <w:r>
        <w:rPr>
          <w:rFonts w:hint="eastAsia" w:ascii="仿宋_GB2312" w:hAnsi="微软雅黑" w:eastAsia="仿宋_GB2312"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本专项资金实行项目库管理。</w:t>
      </w:r>
    </w:p>
    <w:p>
      <w:pPr>
        <w:widowControl/>
        <w:shd w:val="clear" w:color="auto" w:fill="FFFFFF"/>
        <w:spacing w:line="560" w:lineRule="exact"/>
        <w:ind w:firstLine="626"/>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市、区商务主管部门应提前储备项目，将具体支持项目细化编入预算。对免申即享和经评审、公示无异议且审批通过的申请项目，市商务局将根据当年专项资金使用额度</w:t>
      </w:r>
      <w:r>
        <w:rPr>
          <w:rFonts w:hint="eastAsia" w:ascii="仿宋_GB2312" w:hAnsi="仿宋_GB2312" w:eastAsia="仿宋_GB2312" w:cs="仿宋_GB2312"/>
          <w:kern w:val="0"/>
          <w:sz w:val="32"/>
          <w:szCs w:val="32"/>
          <w:shd w:val="clear" w:color="auto" w:fill="FFFFFF"/>
          <w:lang w:eastAsia="zh-CN" w:bidi="ar"/>
        </w:rPr>
        <w:t>、项目</w:t>
      </w:r>
      <w:r>
        <w:rPr>
          <w:rFonts w:hint="eastAsia" w:ascii="仿宋_GB2312" w:hAnsi="仿宋_GB2312" w:eastAsia="仿宋_GB2312" w:cs="仿宋_GB2312"/>
          <w:kern w:val="0"/>
          <w:sz w:val="32"/>
          <w:szCs w:val="32"/>
          <w:shd w:val="clear" w:color="auto" w:fill="FFFFFF"/>
          <w:lang w:bidi="ar"/>
        </w:rPr>
        <w:t>轻重缓急</w:t>
      </w:r>
      <w:r>
        <w:rPr>
          <w:rFonts w:hint="eastAsia" w:ascii="仿宋_GB2312" w:hAnsi="仿宋_GB2312" w:eastAsia="仿宋_GB2312" w:cs="仿宋_GB2312"/>
          <w:kern w:val="0"/>
          <w:sz w:val="32"/>
          <w:szCs w:val="32"/>
          <w:shd w:val="clear" w:color="auto" w:fill="FFFFFF"/>
          <w:lang w:eastAsia="zh-CN" w:bidi="ar"/>
        </w:rPr>
        <w:t>程度等因素综合</w:t>
      </w:r>
      <w:r>
        <w:rPr>
          <w:rFonts w:hint="eastAsia" w:ascii="仿宋_GB2312" w:hAnsi="仿宋_GB2312" w:eastAsia="仿宋_GB2312" w:cs="仿宋_GB2312"/>
          <w:kern w:val="0"/>
          <w:sz w:val="32"/>
          <w:szCs w:val="32"/>
          <w:shd w:val="clear" w:color="auto" w:fill="FFFFFF"/>
          <w:lang w:bidi="ar"/>
        </w:rPr>
        <w:t>安排，编制资金使用具体项目计划（细化至用款单位和个人等主体、项目、金额、年限等明细内容），随年度部门预算和中期财政规划一并编报，并按规定纳入部门项目库和财政项目库管理。</w:t>
      </w:r>
    </w:p>
    <w:p>
      <w:pPr>
        <w:pStyle w:val="2"/>
        <w:spacing w:line="560" w:lineRule="exact"/>
        <w:ind w:left="0" w:leftChars="0" w:firstLine="566" w:firstLineChars="177"/>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对于当年6月30日前仍未细化到用款主体和明细内容的专项资金（含转移支付至区资金），按规定收回并缴回市级财政。</w:t>
      </w:r>
    </w:p>
    <w:p>
      <w:pPr>
        <w:pStyle w:val="2"/>
        <w:spacing w:line="460" w:lineRule="exact"/>
        <w:ind w:left="0" w:leftChars="0" w:firstLine="700" w:firstLineChars="250"/>
        <w:rPr>
          <w:lang w:bidi="ar"/>
        </w:rPr>
      </w:pPr>
      <w:r>
        <w:rPr>
          <w:rFonts w:hint="eastAsia" w:ascii="楷体_GB2312" w:eastAsia="楷体_GB2312"/>
          <w:sz w:val="28"/>
          <w:szCs w:val="28"/>
          <w:lang w:bidi="ar"/>
        </w:rPr>
        <w:t>【说明】根据《广州市市级财政专项资金管理办法》第十二条明确了项目细化截止期限。</w:t>
      </w:r>
    </w:p>
    <w:p>
      <w:pPr>
        <w:widowControl/>
        <w:shd w:val="clear" w:color="auto" w:fill="FFFFFF"/>
        <w:spacing w:line="560" w:lineRule="exact"/>
        <w:ind w:firstLine="626"/>
        <w:rPr>
          <w:rFonts w:ascii="仿宋_GB2312" w:hAnsi="微软雅黑" w:eastAsia="仿宋_GB2312" w:cs="微软雅黑"/>
          <w:sz w:val="32"/>
          <w:szCs w:val="32"/>
        </w:rPr>
      </w:pPr>
      <w:r>
        <w:rPr>
          <w:rFonts w:hint="eastAsia" w:ascii="楷体_GB2312" w:hAnsi="仿宋_GB2312" w:eastAsia="楷体_GB2312" w:cs="仿宋_GB2312"/>
          <w:b/>
          <w:kern w:val="0"/>
          <w:sz w:val="32"/>
          <w:szCs w:val="32"/>
          <w:shd w:val="clear" w:color="auto" w:fill="FFFFFF"/>
          <w:lang w:bidi="ar"/>
        </w:rPr>
        <w:t>第十七条（资金拨付）</w:t>
      </w:r>
      <w:r>
        <w:rPr>
          <w:rFonts w:hint="eastAsia" w:ascii="仿宋_GB2312" w:hAnsi="微软雅黑" w:eastAsia="仿宋_GB2312"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市、区财政部门对按规定批准使用的专项资金按照预算及国库管理规定办理预算下达和资金核拨手续。市、区商务主管部门照国库集中支付相关规定，及时办理</w:t>
      </w:r>
      <w:r>
        <w:rPr>
          <w:rFonts w:hint="eastAsia" w:ascii="仿宋_GB2312" w:hAnsi="仿宋_GB2312" w:eastAsia="仿宋_GB2312" w:cs="仿宋_GB2312"/>
          <w:kern w:val="0"/>
          <w:sz w:val="32"/>
          <w:szCs w:val="32"/>
          <w:shd w:val="clear" w:color="auto" w:fill="FFFFFF"/>
          <w:lang w:eastAsia="zh-CN" w:bidi="ar"/>
        </w:rPr>
        <w:t>向</w:t>
      </w:r>
      <w:r>
        <w:rPr>
          <w:rFonts w:hint="eastAsia" w:ascii="仿宋_GB2312" w:hAnsi="仿宋_GB2312" w:eastAsia="仿宋_GB2312" w:cs="仿宋_GB2312"/>
          <w:kern w:val="0"/>
          <w:sz w:val="32"/>
          <w:szCs w:val="32"/>
          <w:shd w:val="clear" w:color="auto" w:fill="FFFFFF"/>
          <w:lang w:bidi="ar"/>
        </w:rPr>
        <w:t>项目用款主体拨付</w:t>
      </w:r>
      <w:r>
        <w:rPr>
          <w:rFonts w:hint="eastAsia" w:ascii="仿宋_GB2312" w:hAnsi="仿宋_GB2312" w:eastAsia="仿宋_GB2312" w:cs="仿宋_GB2312"/>
          <w:kern w:val="0"/>
          <w:sz w:val="32"/>
          <w:szCs w:val="32"/>
          <w:shd w:val="clear" w:color="auto" w:fill="FFFFFF"/>
          <w:lang w:eastAsia="zh-CN" w:bidi="ar"/>
        </w:rPr>
        <w:t>资金</w:t>
      </w:r>
      <w:r>
        <w:rPr>
          <w:rFonts w:hint="eastAsia" w:ascii="仿宋_GB2312" w:hAnsi="仿宋_GB2312" w:eastAsia="仿宋_GB2312" w:cs="仿宋_GB2312"/>
          <w:kern w:val="0"/>
          <w:sz w:val="32"/>
          <w:szCs w:val="32"/>
          <w:shd w:val="clear" w:color="auto" w:fill="FFFFFF"/>
          <w:lang w:bidi="ar"/>
        </w:rPr>
        <w:t>的手续。</w:t>
      </w:r>
    </w:p>
    <w:p>
      <w:pPr>
        <w:widowControl/>
        <w:shd w:val="clear" w:color="auto" w:fill="FFFFFF"/>
        <w:spacing w:line="560" w:lineRule="exact"/>
        <w:ind w:firstLine="624"/>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按照有关规定应根据项目进展情况分批次拨付资金的，从其规定执行。</w:t>
      </w:r>
    </w:p>
    <w:p>
      <w:pPr>
        <w:pStyle w:val="2"/>
        <w:spacing w:line="460" w:lineRule="exact"/>
        <w:ind w:left="0" w:leftChars="0" w:firstLine="700" w:firstLineChars="250"/>
        <w:rPr>
          <w:lang w:bidi="ar"/>
        </w:rPr>
      </w:pPr>
      <w:r>
        <w:rPr>
          <w:rFonts w:hint="eastAsia" w:ascii="楷体_GB2312" w:eastAsia="楷体_GB2312"/>
          <w:sz w:val="28"/>
          <w:szCs w:val="28"/>
          <w:lang w:bidi="ar"/>
        </w:rPr>
        <w:t>【说明】仍按原《办法》表述。</w:t>
      </w:r>
    </w:p>
    <w:p>
      <w:pPr>
        <w:widowControl/>
        <w:shd w:val="clear" w:color="auto" w:fill="FFFFFF"/>
        <w:spacing w:line="560" w:lineRule="exact"/>
        <w:ind w:firstLine="626"/>
        <w:rPr>
          <w:rFonts w:ascii="仿宋_GB2312" w:hAnsi="仿宋_GB2312" w:eastAsia="仿宋_GB2312" w:cs="仿宋_GB2312"/>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第十八条（会计核算和支出）</w:t>
      </w:r>
      <w:r>
        <w:rPr>
          <w:rFonts w:hint="eastAsia" w:ascii="仿宋_GB2312" w:hAnsi="仿宋_GB2312" w:eastAsia="仿宋_GB2312" w:cs="仿宋_GB2312"/>
          <w:b/>
          <w:kern w:val="0"/>
          <w:sz w:val="32"/>
          <w:szCs w:val="32"/>
          <w:shd w:val="clear" w:color="auto" w:fill="FFFFFF"/>
          <w:lang w:bidi="ar"/>
        </w:rPr>
        <w:t xml:space="preserve"> </w:t>
      </w:r>
      <w:r>
        <w:rPr>
          <w:rFonts w:hint="eastAsia" w:ascii="仿宋_GB2312" w:hAnsi="微软雅黑" w:eastAsia="仿宋_GB2312"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用款单位取得财政拨付的专项资金后，应严格按照《企业财务通则》《企业会计准则第16号——政府补助》《小企业会计准则》</w:t>
      </w:r>
      <w:r>
        <w:rPr>
          <w:rFonts w:ascii="仿宋_GB2312" w:hAnsi="仿宋_GB2312" w:eastAsia="仿宋_GB2312" w:cs="仿宋_GB2312"/>
          <w:kern w:val="0"/>
          <w:sz w:val="32"/>
          <w:szCs w:val="32"/>
          <w:shd w:val="clear" w:color="auto" w:fill="FFFFFF"/>
          <w:lang w:bidi="ar"/>
        </w:rPr>
        <w:t>和《事业单位财务通则》等规定</w:t>
      </w:r>
      <w:r>
        <w:rPr>
          <w:rFonts w:hint="eastAsia" w:ascii="仿宋_GB2312" w:hAnsi="仿宋_GB2312" w:eastAsia="仿宋_GB2312" w:cs="仿宋_GB2312"/>
          <w:kern w:val="0"/>
          <w:sz w:val="32"/>
          <w:szCs w:val="32"/>
          <w:shd w:val="clear" w:color="auto" w:fill="FFFFFF"/>
          <w:lang w:bidi="ar"/>
        </w:rPr>
        <w:t>进行会计核算。</w:t>
      </w:r>
    </w:p>
    <w:p>
      <w:pPr>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用款单位应</w:t>
      </w:r>
      <w:r>
        <w:rPr>
          <w:rFonts w:hint="eastAsia" w:ascii="仿宋_GB2312" w:hAnsi="仿宋_GB2312" w:eastAsia="仿宋_GB2312" w:cs="仿宋_GB2312"/>
          <w:sz w:val="32"/>
          <w:szCs w:val="32"/>
        </w:rPr>
        <w:t>按照项目计划或实施方案组织实施，严格专款专用，未经批准，不得变更项目内容或调整预算。</w:t>
      </w:r>
      <w:r>
        <w:rPr>
          <w:rFonts w:hint="eastAsia" w:ascii="仿宋_GB2312" w:hAnsi="仿宋_GB2312" w:eastAsia="仿宋_GB2312" w:cs="仿宋_GB2312"/>
          <w:kern w:val="0"/>
          <w:sz w:val="32"/>
          <w:szCs w:val="32"/>
          <w:shd w:val="clear" w:color="auto" w:fill="FFFFFF"/>
          <w:lang w:bidi="ar"/>
        </w:rPr>
        <w:t>各项支出严格控制在批准的范围及开支标准内，严格执行财政资金使用票据销账制度，严禁用“白头单”入账或套取现金。</w:t>
      </w:r>
    </w:p>
    <w:p>
      <w:pPr>
        <w:pStyle w:val="2"/>
        <w:spacing w:line="460" w:lineRule="exact"/>
        <w:ind w:left="0" w:leftChars="0" w:firstLine="700" w:firstLineChars="250"/>
        <w:rPr>
          <w:lang w:bidi="ar"/>
        </w:rPr>
      </w:pPr>
      <w:r>
        <w:rPr>
          <w:rFonts w:hint="eastAsia" w:ascii="楷体_GB2312" w:eastAsia="楷体_GB2312"/>
          <w:sz w:val="28"/>
          <w:szCs w:val="28"/>
          <w:lang w:bidi="ar"/>
        </w:rPr>
        <w:t>【说明】根据第三方机构出具的《广州市商务发展专项资金到期延续绩效评估报告》意见建议，对企业取得财政资金后有关会计核算引用了直接相关的规定进行细化明确。</w:t>
      </w:r>
    </w:p>
    <w:p>
      <w:pPr>
        <w:widowControl/>
        <w:shd w:val="clear" w:color="auto" w:fill="FFFFFF"/>
        <w:spacing w:line="560" w:lineRule="exact"/>
        <w:ind w:firstLine="626"/>
        <w:rPr>
          <w:rFonts w:ascii="仿宋_GB2312" w:hAnsi="微软雅黑" w:eastAsia="仿宋_GB2312" w:cs="微软雅黑"/>
          <w:sz w:val="32"/>
          <w:szCs w:val="32"/>
        </w:rPr>
      </w:pPr>
      <w:r>
        <w:rPr>
          <w:rFonts w:hint="eastAsia" w:ascii="楷体_GB2312" w:hAnsi="仿宋_GB2312" w:eastAsia="楷体_GB2312" w:cs="仿宋_GB2312"/>
          <w:b/>
          <w:kern w:val="0"/>
          <w:sz w:val="32"/>
          <w:szCs w:val="32"/>
          <w:shd w:val="clear" w:color="auto" w:fill="FFFFFF"/>
          <w:lang w:bidi="ar"/>
        </w:rPr>
        <w:t>第十九条（项目决算和验收）</w:t>
      </w:r>
      <w:r>
        <w:rPr>
          <w:rFonts w:hint="eastAsia" w:ascii="仿宋_GB2312" w:hAnsi="微软雅黑" w:eastAsia="仿宋_GB2312" w:cs="微软雅黑"/>
          <w:kern w:val="0"/>
          <w:sz w:val="32"/>
          <w:szCs w:val="32"/>
          <w:shd w:val="clear" w:color="auto" w:fill="FFFFFF"/>
          <w:lang w:bidi="ar"/>
        </w:rPr>
        <w:t> </w:t>
      </w:r>
      <w:r>
        <w:rPr>
          <w:rFonts w:ascii="仿宋_GB2312" w:hAnsi="微软雅黑" w:eastAsia="仿宋_GB2312" w:cs="微软雅黑"/>
          <w:kern w:val="0"/>
          <w:sz w:val="32"/>
          <w:szCs w:val="32"/>
          <w:shd w:val="clear" w:color="auto" w:fill="FFFFFF"/>
          <w:lang w:bidi="ar"/>
        </w:rPr>
        <w:t xml:space="preserve"> </w:t>
      </w:r>
      <w:r>
        <w:rPr>
          <w:rFonts w:hint="eastAsia" w:ascii="仿宋_GB2312" w:hAnsi="微软雅黑" w:eastAsia="仿宋_GB2312" w:cs="微软雅黑"/>
          <w:kern w:val="0"/>
          <w:sz w:val="32"/>
          <w:szCs w:val="32"/>
          <w:shd w:val="clear" w:color="auto" w:fill="FFFFFF"/>
          <w:lang w:bidi="ar"/>
        </w:rPr>
        <w:t>用款单位在</w:t>
      </w:r>
      <w:r>
        <w:rPr>
          <w:rFonts w:hint="eastAsia" w:ascii="仿宋_GB2312" w:hAnsi="仿宋_GB2312" w:eastAsia="仿宋_GB2312" w:cs="仿宋_GB2312"/>
          <w:kern w:val="0"/>
          <w:sz w:val="32"/>
          <w:szCs w:val="32"/>
          <w:shd w:val="clear" w:color="auto" w:fill="FFFFFF"/>
          <w:lang w:bidi="ar"/>
        </w:rPr>
        <w:t>项目实施完毕后，应及时对项目的财政专项资金使用情况进行财务决算。</w:t>
      </w:r>
    </w:p>
    <w:p>
      <w:pPr>
        <w:widowControl/>
        <w:shd w:val="clear" w:color="auto" w:fill="FFFFFF"/>
        <w:spacing w:line="560" w:lineRule="exact"/>
        <w:ind w:firstLine="624"/>
        <w:rPr>
          <w:rFonts w:ascii="仿宋_GB2312" w:hAnsi="微软雅黑" w:eastAsia="仿宋_GB2312" w:cs="微软雅黑"/>
          <w:sz w:val="32"/>
          <w:szCs w:val="32"/>
        </w:rPr>
      </w:pPr>
      <w:r>
        <w:rPr>
          <w:rFonts w:hint="eastAsia" w:ascii="仿宋_GB2312" w:hAnsi="仿宋_GB2312" w:eastAsia="仿宋_GB2312" w:cs="仿宋_GB2312"/>
          <w:kern w:val="0"/>
          <w:sz w:val="32"/>
          <w:szCs w:val="32"/>
          <w:shd w:val="clear" w:color="auto" w:fill="FFFFFF"/>
          <w:lang w:bidi="ar"/>
        </w:rPr>
        <w:t>按要求应当进行项目验收的，用款单位应在项目完工后按申报指南明确的项目主管部门（如未明确，即负责项目审批的市、区商务主管部门）及时提出验收申请，项目主管部门应牵头组织资金使用单位进行项目验收，并对资金使用情况进行检查。</w:t>
      </w:r>
    </w:p>
    <w:p>
      <w:pPr>
        <w:widowControl/>
        <w:shd w:val="clear" w:color="auto" w:fill="FFFFFF"/>
        <w:spacing w:line="560" w:lineRule="exact"/>
        <w:ind w:firstLine="689"/>
        <w:rPr>
          <w:rFonts w:ascii="仿宋_GB2312" w:hAnsi="微软雅黑" w:eastAsia="仿宋_GB2312" w:cs="微软雅黑"/>
          <w:sz w:val="32"/>
          <w:szCs w:val="32"/>
        </w:rPr>
      </w:pPr>
      <w:r>
        <w:rPr>
          <w:rFonts w:hint="eastAsia" w:ascii="仿宋_GB2312" w:hAnsi="仿宋_GB2312" w:eastAsia="仿宋_GB2312" w:cs="仿宋_GB2312"/>
          <w:kern w:val="0"/>
          <w:sz w:val="32"/>
          <w:szCs w:val="32"/>
          <w:shd w:val="clear" w:color="auto" w:fill="FFFFFF"/>
          <w:lang w:bidi="ar"/>
        </w:rPr>
        <w:t>转移支付至区财政的专项资金，由市商务局会同市财政局定期与区商务部门和财政部门进行资金清算，区商务部门和财政部门应将项目结余资金在规定时间内缴回市财政。</w:t>
      </w:r>
    </w:p>
    <w:p>
      <w:pPr>
        <w:pStyle w:val="2"/>
        <w:spacing w:line="460" w:lineRule="exact"/>
        <w:ind w:left="0" w:leftChars="0" w:firstLine="700" w:firstLineChars="250"/>
        <w:rPr>
          <w:lang w:bidi="ar"/>
        </w:rPr>
      </w:pPr>
      <w:r>
        <w:rPr>
          <w:rFonts w:hint="eastAsia" w:ascii="楷体_GB2312" w:eastAsia="楷体_GB2312"/>
          <w:sz w:val="28"/>
          <w:szCs w:val="28"/>
          <w:lang w:bidi="ar"/>
        </w:rPr>
        <w:t>【说明】仍按原《办法》表述。</w:t>
      </w:r>
    </w:p>
    <w:p>
      <w:pPr>
        <w:widowControl/>
        <w:shd w:val="clear" w:color="auto" w:fill="FFFFFF"/>
        <w:spacing w:line="560" w:lineRule="exact"/>
        <w:ind w:firstLine="660"/>
        <w:rPr>
          <w:rFonts w:ascii="仿宋_GB2312" w:hAnsi="微软雅黑" w:eastAsia="仿宋_GB2312" w:cs="微软雅黑"/>
          <w:sz w:val="32"/>
          <w:szCs w:val="32"/>
        </w:rPr>
      </w:pPr>
      <w:r>
        <w:rPr>
          <w:rFonts w:hint="eastAsia" w:ascii="楷体_GB2312" w:hAnsi="仿宋_GB2312" w:eastAsia="楷体_GB2312" w:cs="仿宋_GB2312"/>
          <w:b/>
          <w:kern w:val="0"/>
          <w:sz w:val="32"/>
          <w:szCs w:val="32"/>
          <w:shd w:val="clear" w:color="auto" w:fill="FFFFFF"/>
          <w:lang w:bidi="ar"/>
        </w:rPr>
        <w:t>第二十条（项目终止、撤销或变更）</w:t>
      </w:r>
      <w:r>
        <w:rPr>
          <w:rFonts w:hint="eastAsia" w:ascii="仿宋_GB2312" w:hAnsi="微软雅黑" w:eastAsia="仿宋_GB2312" w:cs="微软雅黑"/>
          <w:b/>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项目在实施过程中因客观情况发生变化，或其他因素致使项目需要终止、撤销或变更的，用款单位应向项目主管部门提出申请，项目主管部门审核后报市、区商务主管部门审核。</w:t>
      </w:r>
    </w:p>
    <w:p>
      <w:pPr>
        <w:widowControl/>
        <w:shd w:val="clear" w:color="auto" w:fill="FFFFFF"/>
        <w:spacing w:line="560" w:lineRule="exact"/>
        <w:ind w:firstLine="6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对因故终止、撤销或变更的项目，用款单位应对专项资金进行结算并经项目主管部门和市、区商务主管部门审核批准后，将专项资金或结余资金按原拨付渠道缴回市财政。</w:t>
      </w:r>
    </w:p>
    <w:p>
      <w:pPr>
        <w:pStyle w:val="2"/>
        <w:spacing w:line="460" w:lineRule="exact"/>
        <w:ind w:left="0" w:leftChars="0" w:firstLine="700" w:firstLineChars="250"/>
        <w:rPr>
          <w:lang w:bidi="ar"/>
        </w:rPr>
      </w:pPr>
      <w:r>
        <w:rPr>
          <w:rFonts w:hint="eastAsia" w:ascii="楷体_GB2312" w:eastAsia="楷体_GB2312"/>
          <w:sz w:val="28"/>
          <w:szCs w:val="28"/>
          <w:lang w:bidi="ar"/>
        </w:rPr>
        <w:t>【说明】对原表述略作修改。</w:t>
      </w:r>
    </w:p>
    <w:p>
      <w:pPr>
        <w:pStyle w:val="2"/>
        <w:rPr>
          <w:lang w:bidi="ar"/>
        </w:rPr>
      </w:pPr>
    </w:p>
    <w:p>
      <w:pPr>
        <w:pStyle w:val="3"/>
        <w:spacing w:before="0" w:after="0" w:line="960" w:lineRule="auto"/>
        <w:jc w:val="center"/>
        <w:rPr>
          <w:rFonts w:ascii="黑体" w:hAnsi="黑体" w:eastAsia="黑体"/>
          <w:b w:val="0"/>
          <w:sz w:val="32"/>
          <w:szCs w:val="32"/>
          <w:shd w:val="clear" w:color="auto" w:fill="FFFFFF"/>
          <w:lang w:bidi="ar"/>
        </w:rPr>
      </w:pPr>
      <w:r>
        <w:rPr>
          <w:rFonts w:hint="eastAsia" w:ascii="黑体" w:hAnsi="黑体" w:eastAsia="黑体"/>
          <w:b w:val="0"/>
          <w:sz w:val="32"/>
          <w:szCs w:val="32"/>
          <w:shd w:val="clear" w:color="auto" w:fill="FFFFFF"/>
          <w:lang w:bidi="ar"/>
        </w:rPr>
        <w:t>第四章</w:t>
      </w:r>
      <w:r>
        <w:rPr>
          <w:rFonts w:ascii="黑体" w:hAnsi="黑体" w:eastAsia="黑体"/>
          <w:b w:val="0"/>
          <w:sz w:val="32"/>
          <w:szCs w:val="32"/>
          <w:shd w:val="clear" w:color="auto" w:fill="FFFFFF"/>
          <w:lang w:bidi="ar"/>
        </w:rPr>
        <w:t xml:space="preserve"> </w:t>
      </w:r>
      <w:r>
        <w:rPr>
          <w:rFonts w:hint="eastAsia" w:ascii="黑体" w:hAnsi="黑体" w:eastAsia="黑体"/>
          <w:b w:val="0"/>
          <w:sz w:val="32"/>
          <w:szCs w:val="32"/>
          <w:shd w:val="clear" w:color="auto" w:fill="FFFFFF"/>
          <w:lang w:bidi="ar"/>
        </w:rPr>
        <w:t>绩效管理和信息公开</w:t>
      </w:r>
    </w:p>
    <w:p>
      <w:pPr>
        <w:widowControl/>
        <w:shd w:val="clear" w:color="auto" w:fill="FFFFFF"/>
        <w:spacing w:line="560" w:lineRule="exact"/>
        <w:ind w:firstLine="626"/>
        <w:rPr>
          <w:lang w:bidi="ar"/>
        </w:rPr>
      </w:pPr>
      <w:r>
        <w:rPr>
          <w:rFonts w:hint="eastAsia" w:ascii="楷体_GB2312" w:hAnsi="仿宋_GB2312" w:eastAsia="楷体_GB2312" w:cs="仿宋_GB2312"/>
          <w:b/>
          <w:kern w:val="0"/>
          <w:sz w:val="32"/>
          <w:szCs w:val="32"/>
          <w:shd w:val="clear" w:color="auto" w:fill="FFFFFF"/>
          <w:lang w:bidi="ar"/>
        </w:rPr>
        <w:t>第二十一条（绩效管理）</w:t>
      </w:r>
      <w:r>
        <w:rPr>
          <w:rFonts w:hint="eastAsia" w:ascii="宋体" w:hAnsi="宋体" w:eastAsia="宋体" w:cs="宋体"/>
          <w:kern w:val="0"/>
          <w:sz w:val="32"/>
          <w:szCs w:val="32"/>
          <w:shd w:val="clear" w:color="auto" w:fill="FFFFFF"/>
          <w:lang w:bidi="ar"/>
        </w:rPr>
        <w:t> </w:t>
      </w:r>
      <w:r>
        <w:rPr>
          <w:rFonts w:ascii="仿宋_GB2312" w:eastAsia="仿宋_GB2312"/>
          <w:sz w:val="32"/>
          <w:szCs w:val="32"/>
        </w:rPr>
        <w:t>本专项资金建立以绩效目标为导向，以事前绩效评估、事中绩效监控、事后绩效评价为手段的全过程绩效管理制度。</w:t>
      </w:r>
    </w:p>
    <w:p>
      <w:pPr>
        <w:widowControl/>
        <w:shd w:val="clear" w:color="auto" w:fill="FFFFFF"/>
        <w:spacing w:line="560" w:lineRule="exact"/>
        <w:ind w:firstLine="624"/>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市、区商务主管部门在申请设立、编报年度专项资金（专题）预算时，应按规定设置专项资金绩效目标和绩效指标，并按规定自行或委托第三方开展事前绩效评估。绩效指标应可测评、可衡量，包括产出、效益和满意度指标；目标设置要全面完整、具体细化、合理可行。</w:t>
      </w:r>
    </w:p>
    <w:p>
      <w:pPr>
        <w:widowControl/>
        <w:shd w:val="clear" w:color="auto" w:fill="FFFFFF"/>
        <w:spacing w:line="560" w:lineRule="exact"/>
        <w:ind w:firstLine="624"/>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（二）市、区商务、财政部门对预算执行和绩效目标情况进行动态监控，用款单位应按要求提供项目实施进度和资金运行绩效情况。对监控中发现的偏差或问题，及时采取措施予以纠正。</w:t>
      </w:r>
    </w:p>
    <w:p>
      <w:pPr>
        <w:widowControl/>
        <w:shd w:val="clear" w:color="auto" w:fill="FFFFFF"/>
        <w:spacing w:line="560" w:lineRule="exact"/>
        <w:ind w:firstLine="624"/>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专项资金在到期前应开展到期绩效评价，在执行过程中可以开展阶段性绩效评价。绩效评价可由市、区商务主管部门组织绩效自评或委托第三方机构评价。用款单位应对专项资金使用完毕的项目按规定实施绩效评价。</w:t>
      </w:r>
    </w:p>
    <w:p>
      <w:pPr>
        <w:widowControl/>
        <w:shd w:val="clear" w:color="auto" w:fill="FFFFFF"/>
        <w:spacing w:line="560" w:lineRule="exact"/>
        <w:ind w:firstLine="624"/>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 绩效评价结果作为专项资金安排、调整、撤销、收回以及责任追究的重要参考依据，责任单位对绩效评价发现问题应及时整改。</w:t>
      </w:r>
    </w:p>
    <w:p>
      <w:pPr>
        <w:pStyle w:val="2"/>
        <w:spacing w:line="460" w:lineRule="exact"/>
        <w:ind w:left="0" w:leftChars="0" w:firstLine="700" w:firstLineChars="250"/>
        <w:rPr>
          <w:rFonts w:ascii="楷体_GB2312" w:eastAsia="楷体_GB2312"/>
          <w:sz w:val="28"/>
          <w:szCs w:val="28"/>
          <w:lang w:bidi="ar"/>
        </w:rPr>
      </w:pPr>
      <w:r>
        <w:rPr>
          <w:rFonts w:hint="eastAsia" w:ascii="楷体_GB2312" w:eastAsia="楷体_GB2312"/>
          <w:sz w:val="28"/>
          <w:szCs w:val="28"/>
          <w:lang w:bidi="ar"/>
        </w:rPr>
        <w:t>【说明】根据《中共广州市委广州市人民政府关于全面实施预算绩效管理的实施意见》（穗字〔2019〕6号）、《广州市预算绩效管理办法》（穗财绩〔2019〕48号）等规定，将绩效管理和信息公开单独增设一章，强调和突出了绩效管理要求。</w:t>
      </w:r>
    </w:p>
    <w:p>
      <w:pPr>
        <w:widowControl/>
        <w:shd w:val="clear" w:color="auto" w:fill="FFFFFF"/>
        <w:spacing w:line="560" w:lineRule="exact"/>
        <w:ind w:firstLine="692"/>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第二十二条（信息公开）</w:t>
      </w:r>
      <w:r>
        <w:rPr>
          <w:rFonts w:hint="eastAsia" w:ascii="微软雅黑" w:hAnsi="微软雅黑" w:eastAsia="微软雅黑"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除涉及保密或重大敏感项目不予公开外，市、区商务主管部门</w:t>
      </w:r>
      <w:r>
        <w:rPr>
          <w:rFonts w:hint="eastAsia" w:ascii="仿宋_GB2312" w:hAnsi="仿宋_GB2312" w:eastAsia="仿宋_GB2312" w:cs="仿宋_GB2312"/>
          <w:kern w:val="0"/>
          <w:sz w:val="32"/>
          <w:szCs w:val="32"/>
          <w:shd w:val="clear" w:color="auto" w:fill="FFFFFF"/>
          <w:lang w:eastAsia="zh-CN" w:bidi="ar"/>
        </w:rPr>
        <w:t>按照“谁制定、谁分配、谁审批、谁公开”原则，</w:t>
      </w:r>
      <w:r>
        <w:rPr>
          <w:rFonts w:hint="eastAsia" w:ascii="仿宋_GB2312" w:hAnsi="仿宋_GB2312" w:eastAsia="仿宋_GB2312" w:cs="仿宋_GB2312"/>
          <w:kern w:val="0"/>
          <w:sz w:val="32"/>
          <w:szCs w:val="32"/>
          <w:shd w:val="clear" w:color="auto" w:fill="FFFFFF"/>
          <w:lang w:bidi="ar"/>
        </w:rPr>
        <w:t>将本专项资金的相关信息在广州市政策兑现服务信息管理平台（广东政务服务网点/广州市）、广州市人民政府门户网站“营商广州”专栏向社会公开，接受社会监督。公开内容如下：</w:t>
      </w:r>
    </w:p>
    <w:p>
      <w:pPr>
        <w:widowControl/>
        <w:shd w:val="clear" w:color="auto" w:fill="FFFFFF"/>
        <w:spacing w:line="560" w:lineRule="exact"/>
        <w:ind w:firstLine="68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（一）专项资金用途清单。</w:t>
      </w:r>
    </w:p>
    <w:p>
      <w:pPr>
        <w:widowControl/>
        <w:shd w:val="clear" w:color="auto" w:fill="FFFFFF"/>
        <w:spacing w:line="560" w:lineRule="exact"/>
        <w:ind w:firstLine="689"/>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（二）制订的专项资金支持政策和管理办法。</w:t>
      </w:r>
    </w:p>
    <w:p>
      <w:pPr>
        <w:widowControl/>
        <w:shd w:val="clear" w:color="auto" w:fill="FFFFFF"/>
        <w:spacing w:line="560" w:lineRule="exact"/>
        <w:ind w:firstLine="689"/>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（三）专项资金申报通知单（申报指南），包括申报条件、扶持范围、扶持对象、审批部门、经办部门、经办人员、查询电话等。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（四）项目计划情况，包括申报单位、申请金额、安排金额、绩效目标、项目立项储备等。</w:t>
      </w:r>
    </w:p>
    <w:p>
      <w:pPr>
        <w:spacing w:line="560" w:lineRule="exact"/>
        <w:rPr>
          <w:rFonts w:ascii="仿宋_GB2312" w:eastAsia="仿宋_GB2312"/>
          <w:sz w:val="32"/>
          <w:szCs w:val="32"/>
        </w:rPr>
      </w:pPr>
      <w:r>
        <w:rPr>
          <w:rFonts w:hint="eastAsia" w:ascii="仿宋_GB2312" w:eastAsia="仿宋_GB2312"/>
          <w:sz w:val="32"/>
          <w:szCs w:val="32"/>
        </w:rPr>
        <w:t>　　（五）资金的分配、执行情况和项目实施结果，包括资金分配明细项目、金额和分配对象等；完成约束性任务后剩余资金统筹使用情况。</w:t>
      </w:r>
    </w:p>
    <w:p>
      <w:pPr>
        <w:spacing w:line="560" w:lineRule="exact"/>
        <w:rPr>
          <w:rFonts w:ascii="仿宋_GB2312" w:eastAsia="仿宋_GB2312"/>
          <w:sz w:val="32"/>
          <w:szCs w:val="32"/>
        </w:rPr>
      </w:pPr>
      <w:r>
        <w:rPr>
          <w:rFonts w:hint="eastAsia" w:ascii="仿宋_GB2312" w:eastAsia="仿宋_GB2312"/>
          <w:sz w:val="32"/>
          <w:szCs w:val="32"/>
        </w:rPr>
        <w:t>　　（六）专项资金使用情况。</w:t>
      </w:r>
    </w:p>
    <w:p>
      <w:pPr>
        <w:widowControl/>
        <w:shd w:val="clear" w:color="auto" w:fill="FFFFFF"/>
        <w:spacing w:line="560" w:lineRule="exact"/>
        <w:ind w:firstLine="640" w:firstLineChars="200"/>
        <w:rPr>
          <w:rFonts w:ascii="微软雅黑" w:hAnsi="微软雅黑" w:eastAsia="微软雅黑" w:cs="微软雅黑"/>
          <w:sz w:val="32"/>
          <w:szCs w:val="32"/>
        </w:rPr>
      </w:pPr>
      <w:r>
        <w:rPr>
          <w:rFonts w:hint="eastAsia" w:ascii="仿宋_GB2312" w:eastAsia="仿宋_GB2312"/>
          <w:sz w:val="32"/>
          <w:szCs w:val="32"/>
        </w:rPr>
        <w:t>（七）专项资金绩效评价、监督检查和审计结果，包括项目财务决算报告、项目验收考评情况、绩效自评报告和财政部门反馈的重点评价报告、财政财务监督检查报告、审计结果等。其中，绩效评价公开事项可参考市政府门户网站上公开的绩效评价报告。</w:t>
      </w:r>
    </w:p>
    <w:p>
      <w:pPr>
        <w:spacing w:line="560" w:lineRule="exact"/>
        <w:ind w:firstLine="640"/>
        <w:rPr>
          <w:rFonts w:ascii="微软雅黑" w:hAnsi="微软雅黑" w:eastAsia="微软雅黑" w:cs="微软雅黑"/>
          <w:sz w:val="32"/>
          <w:szCs w:val="32"/>
        </w:rPr>
      </w:pPr>
      <w:r>
        <w:rPr>
          <w:rFonts w:hint="eastAsia" w:ascii="仿宋_GB2312" w:eastAsia="仿宋_GB2312"/>
          <w:sz w:val="32"/>
          <w:szCs w:val="32"/>
        </w:rPr>
        <w:t>（八）公开接受和处理投诉情况，包括投诉事项和投诉处理情况以及其他按规定应公开的内容。</w:t>
      </w:r>
    </w:p>
    <w:p>
      <w:pPr>
        <w:widowControl/>
        <w:shd w:val="clear" w:color="auto" w:fill="FFFFFF"/>
        <w:spacing w:line="560" w:lineRule="exact"/>
        <w:ind w:firstLine="624"/>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上述信息第（二）、（三）项信息同时在市商务局门户网站上公布。</w:t>
      </w:r>
    </w:p>
    <w:p>
      <w:pPr>
        <w:widowControl/>
        <w:shd w:val="clear" w:color="auto" w:fill="FFFFFF"/>
        <w:spacing w:line="560" w:lineRule="exact"/>
        <w:ind w:firstLine="624"/>
        <w:rPr>
          <w:lang w:bidi="ar"/>
        </w:rPr>
      </w:pPr>
      <w:r>
        <w:rPr>
          <w:rFonts w:hint="eastAsia" w:ascii="仿宋_GB2312" w:hAnsi="仿宋_GB2312" w:eastAsia="仿宋_GB2312" w:cs="仿宋_GB2312"/>
          <w:kern w:val="0"/>
          <w:sz w:val="32"/>
          <w:szCs w:val="32"/>
          <w:shd w:val="clear" w:color="auto" w:fill="FFFFFF"/>
          <w:lang w:bidi="ar"/>
        </w:rPr>
        <w:t>专项资金管理办法和相关政策、申报指南、分配结果等信息在经审定后</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日内向社会公开；绩效评价信息在经审定后</w:t>
      </w:r>
      <w:r>
        <w:rPr>
          <w:rFonts w:ascii="仿宋_GB2312" w:hAnsi="仿宋_GB2312"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bidi="ar"/>
        </w:rPr>
        <w:t>日内向社会公开。</w:t>
      </w:r>
    </w:p>
    <w:p>
      <w:pPr>
        <w:pStyle w:val="2"/>
        <w:spacing w:line="460" w:lineRule="exact"/>
        <w:ind w:left="0" w:leftChars="0" w:firstLine="700" w:firstLineChars="250"/>
        <w:rPr>
          <w:rFonts w:ascii="微软雅黑" w:hAnsi="微软雅黑" w:eastAsia="微软雅黑" w:cs="微软雅黑"/>
          <w:sz w:val="32"/>
          <w:szCs w:val="32"/>
        </w:rPr>
      </w:pPr>
      <w:r>
        <w:rPr>
          <w:rFonts w:hint="eastAsia" w:ascii="楷体_GB2312" w:eastAsia="楷体_GB2312"/>
          <w:sz w:val="28"/>
          <w:szCs w:val="28"/>
          <w:lang w:bidi="ar"/>
        </w:rPr>
        <w:t>【说明】根据《广州市市级财政专项资金管理办法》第十七条修改。</w:t>
      </w:r>
    </w:p>
    <w:p>
      <w:pPr>
        <w:pStyle w:val="3"/>
        <w:spacing w:before="0" w:after="0" w:line="960" w:lineRule="auto"/>
        <w:jc w:val="center"/>
        <w:rPr>
          <w:rFonts w:ascii="微软雅黑" w:hAnsi="微软雅黑" w:eastAsia="微软雅黑" w:cs="微软雅黑"/>
          <w:sz w:val="32"/>
          <w:szCs w:val="32"/>
        </w:rPr>
      </w:pPr>
      <w:r>
        <w:rPr>
          <w:rFonts w:hint="eastAsia" w:ascii="黑体" w:hAnsi="黑体" w:eastAsia="黑体"/>
          <w:b w:val="0"/>
          <w:sz w:val="32"/>
          <w:szCs w:val="32"/>
          <w:shd w:val="clear" w:color="auto" w:fill="FFFFFF"/>
          <w:lang w:bidi="ar"/>
        </w:rPr>
        <w:t>第五章</w:t>
      </w:r>
      <w:r>
        <w:rPr>
          <w:rFonts w:ascii="黑体" w:hAnsi="黑体" w:eastAsia="黑体"/>
          <w:b w:val="0"/>
          <w:sz w:val="32"/>
          <w:szCs w:val="32"/>
          <w:shd w:val="clear" w:color="auto" w:fill="FFFFFF"/>
          <w:lang w:bidi="ar"/>
        </w:rPr>
        <w:t xml:space="preserve"> </w:t>
      </w:r>
      <w:r>
        <w:rPr>
          <w:rFonts w:hint="eastAsia" w:ascii="黑体" w:hAnsi="黑体" w:eastAsia="黑体"/>
          <w:b w:val="0"/>
          <w:sz w:val="32"/>
          <w:szCs w:val="32"/>
          <w:shd w:val="clear" w:color="auto" w:fill="FFFFFF"/>
          <w:lang w:bidi="ar"/>
        </w:rPr>
        <w:t>监督检查与责任追究</w:t>
      </w:r>
      <w:r>
        <w:rPr>
          <w:rFonts w:hint="eastAsia" w:ascii="微软雅黑" w:hAnsi="微软雅黑" w:eastAsia="微软雅黑" w:cs="微软雅黑"/>
          <w:kern w:val="0"/>
          <w:sz w:val="32"/>
          <w:szCs w:val="32"/>
          <w:shd w:val="clear" w:color="auto" w:fill="FFFFFF"/>
          <w:lang w:bidi="ar"/>
        </w:rPr>
        <w:t> </w:t>
      </w:r>
    </w:p>
    <w:p>
      <w:pPr>
        <w:widowControl/>
        <w:shd w:val="clear" w:color="auto" w:fill="FFFFFF"/>
        <w:spacing w:line="560" w:lineRule="exact"/>
        <w:ind w:firstLine="660"/>
        <w:rPr>
          <w:rFonts w:ascii="微软雅黑" w:hAnsi="微软雅黑" w:eastAsia="微软雅黑" w:cs="微软雅黑"/>
          <w:b/>
          <w:kern w:val="0"/>
          <w:sz w:val="32"/>
          <w:szCs w:val="32"/>
          <w:shd w:val="clear" w:color="auto" w:fill="FFFFFF"/>
          <w:lang w:bidi="ar"/>
        </w:rPr>
      </w:pPr>
      <w:r>
        <w:rPr>
          <w:rFonts w:hint="eastAsia" w:ascii="楷体_GB2312" w:hAnsi="仿宋_GB2312" w:eastAsia="楷体_GB2312" w:cs="仿宋_GB2312"/>
          <w:b/>
          <w:kern w:val="0"/>
          <w:sz w:val="32"/>
          <w:szCs w:val="32"/>
          <w:shd w:val="clear" w:color="auto" w:fill="FFFFFF"/>
          <w:lang w:bidi="ar"/>
        </w:rPr>
        <w:t>第二十三条（部门档案）</w:t>
      </w:r>
      <w:r>
        <w:rPr>
          <w:rFonts w:hint="eastAsia" w:ascii="微软雅黑" w:hAnsi="微软雅黑" w:eastAsia="微软雅黑" w:cs="微软雅黑"/>
          <w:b/>
          <w:kern w:val="0"/>
          <w:sz w:val="32"/>
          <w:szCs w:val="32"/>
          <w:shd w:val="clear" w:color="auto" w:fill="FFFFFF"/>
          <w:lang w:bidi="ar"/>
        </w:rPr>
        <w:t xml:space="preserve">  </w:t>
      </w:r>
      <w:r>
        <w:rPr>
          <w:rFonts w:hint="eastAsia" w:ascii="仿宋_GB2312" w:eastAsia="仿宋_GB2312"/>
          <w:sz w:val="32"/>
          <w:szCs w:val="32"/>
        </w:rPr>
        <w:t>市、区商务主管部门</w:t>
      </w:r>
      <w:r>
        <w:rPr>
          <w:rFonts w:hint="eastAsia" w:ascii="仿宋_GB2312" w:hAnsi="仿宋_GB2312" w:eastAsia="仿宋_GB2312" w:cs="仿宋_GB2312"/>
          <w:kern w:val="0"/>
          <w:sz w:val="32"/>
          <w:szCs w:val="32"/>
          <w:shd w:val="clear" w:color="auto" w:fill="FFFFFF"/>
          <w:lang w:bidi="ar"/>
        </w:rPr>
        <w:t>应当按照《中华人民共和国档案法》、《中华人民共和</w:t>
      </w:r>
      <w:r>
        <w:rPr>
          <w:rFonts w:hint="eastAsia" w:ascii="仿宋_GB2312" w:eastAsia="仿宋_GB2312"/>
          <w:sz w:val="32"/>
          <w:szCs w:val="32"/>
        </w:rPr>
        <w:t>国会计法》等规定建立完善的专项资金项目档案，如实记录专项资金核心环节信息，实现全过程可查询、可追溯的痕迹管理。</w:t>
      </w:r>
    </w:p>
    <w:p>
      <w:pPr>
        <w:widowControl/>
        <w:shd w:val="clear" w:color="auto" w:fill="FFFFFF"/>
        <w:spacing w:line="560" w:lineRule="exact"/>
        <w:ind w:firstLine="660"/>
        <w:rPr>
          <w:rFonts w:ascii="楷体_GB2312" w:eastAsia="楷体_GB2312"/>
          <w:sz w:val="28"/>
          <w:szCs w:val="28"/>
          <w:lang w:bidi="ar"/>
        </w:rPr>
      </w:pPr>
      <w:r>
        <w:rPr>
          <w:rFonts w:hint="eastAsia" w:ascii="楷体_GB2312" w:eastAsia="楷体_GB2312"/>
          <w:sz w:val="28"/>
          <w:szCs w:val="28"/>
          <w:lang w:bidi="ar"/>
        </w:rPr>
        <w:t>【说明】对原表述略作修改。</w:t>
      </w:r>
    </w:p>
    <w:p>
      <w:pPr>
        <w:widowControl/>
        <w:shd w:val="clear" w:color="auto" w:fill="FFFFFF"/>
        <w:spacing w:line="560" w:lineRule="exact"/>
        <w:ind w:firstLine="660"/>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 xml:space="preserve">第二十四条（监督检查） </w:t>
      </w:r>
      <w:r>
        <w:rPr>
          <w:rFonts w:hint="eastAsia" w:ascii="仿宋_GB2312" w:hAnsi="仿宋_GB2312" w:eastAsia="仿宋_GB2312" w:cs="仿宋_GB2312"/>
          <w:kern w:val="0"/>
          <w:sz w:val="32"/>
          <w:szCs w:val="32"/>
          <w:shd w:val="clear" w:color="auto" w:fill="FFFFFF"/>
          <w:lang w:bidi="ar"/>
        </w:rPr>
        <w:t xml:space="preserve"> 市、区商务主管部门组织对本单位审批的专项资金管理情况开展日常检查，并对用款单位资金使用情况进行抽查且做好抽查记录。市、区财政部门对专项资金预算执行和财务管理实行常态化监督检查，审计部门按规定开展预算执行情况审计和专项审计（调研）。</w:t>
      </w:r>
    </w:p>
    <w:p>
      <w:pPr>
        <w:widowControl/>
        <w:shd w:val="clear" w:color="auto" w:fill="FFFFFF"/>
        <w:spacing w:line="560" w:lineRule="exact"/>
        <w:ind w:firstLine="660"/>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用款单位应自觉接受财政、商务、审计等部门及其委托的第三方机构监督检查。</w:t>
      </w:r>
    </w:p>
    <w:p>
      <w:pPr>
        <w:widowControl/>
        <w:shd w:val="clear" w:color="auto" w:fill="FFFFFF"/>
        <w:spacing w:line="560" w:lineRule="exact"/>
        <w:ind w:firstLine="660"/>
        <w:rPr>
          <w:rFonts w:ascii="楷体_GB2312" w:eastAsia="楷体_GB2312"/>
          <w:sz w:val="28"/>
          <w:szCs w:val="28"/>
          <w:lang w:bidi="ar"/>
        </w:rPr>
      </w:pPr>
      <w:r>
        <w:rPr>
          <w:rFonts w:hint="eastAsia" w:ascii="楷体_GB2312" w:eastAsia="楷体_GB2312"/>
          <w:sz w:val="28"/>
          <w:szCs w:val="28"/>
          <w:lang w:bidi="ar"/>
        </w:rPr>
        <w:t>【说明】对原表述略作修改。</w:t>
      </w:r>
    </w:p>
    <w:p>
      <w:pPr>
        <w:widowControl/>
        <w:shd w:val="clear" w:color="auto" w:fill="FFFFFF"/>
        <w:spacing w:line="560" w:lineRule="exact"/>
        <w:ind w:firstLine="643" w:firstLineChars="200"/>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第二十五条（用款单位档案）</w:t>
      </w:r>
      <w:r>
        <w:rPr>
          <w:rFonts w:hint="eastAsia" w:ascii="微软雅黑" w:hAnsi="微软雅黑" w:eastAsia="微软雅黑" w:cs="微软雅黑"/>
          <w:b/>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 xml:space="preserve"> 用款单位应当按照《中华人民共和国档案法》、《中华人民共和国会计法》等规定，对项目申报、执行、验收、资金使用等资料归档保存，以备核查。</w:t>
      </w:r>
    </w:p>
    <w:p>
      <w:pPr>
        <w:widowControl/>
        <w:shd w:val="clear" w:color="auto" w:fill="FFFFFF"/>
        <w:spacing w:line="560" w:lineRule="exact"/>
        <w:ind w:firstLine="692"/>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 xml:space="preserve">第二十六条  </w:t>
      </w:r>
      <w:r>
        <w:rPr>
          <w:rFonts w:hint="eastAsia" w:ascii="仿宋_GB2312" w:hAnsi="仿宋_GB2312" w:eastAsia="仿宋_GB2312" w:cs="仿宋_GB2312"/>
          <w:kern w:val="0"/>
          <w:sz w:val="32"/>
          <w:szCs w:val="32"/>
          <w:shd w:val="clear" w:color="auto" w:fill="FFFFFF"/>
          <w:lang w:bidi="ar"/>
        </w:rPr>
        <w:t>实行专项资金管理责任追究机制：</w:t>
      </w:r>
    </w:p>
    <w:p>
      <w:pPr>
        <w:widowControl/>
        <w:shd w:val="clear" w:color="auto" w:fill="FFFFFF"/>
        <w:spacing w:line="560" w:lineRule="exact"/>
        <w:ind w:firstLine="689"/>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（一）对各级商务主管部门相关责任人，以及其他部门、中介机构有关人员和评审专家在专项资金分配、审批、评审过程中存在违法违纪行为的，依照相应法律法规处理。</w:t>
      </w:r>
    </w:p>
    <w:p>
      <w:pPr>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（二）申报、用款单位和个人</w:t>
      </w:r>
      <w:r>
        <w:rPr>
          <w:rFonts w:hint="eastAsia" w:ascii="仿宋_GB2312" w:eastAsia="仿宋_GB2312"/>
          <w:sz w:val="32"/>
          <w:szCs w:val="32"/>
        </w:rPr>
        <w:t>在专项资金申报、管理、使用过程中存在虚报、骗取、套取、挤占、挪用等违法违规行为的，严格按照《财政违法行为处罚处分条例》等法律法规作出处理，缴回（追回）专项资金，按规定程序纳入社会信用体系</w:t>
      </w:r>
      <w:r>
        <w:rPr>
          <w:rFonts w:hint="eastAsia" w:ascii="仿宋_GB2312" w:hAnsi="仿宋_GB2312" w:eastAsia="仿宋_GB2312" w:cs="仿宋_GB2312"/>
          <w:sz w:val="32"/>
          <w:szCs w:val="32"/>
        </w:rPr>
        <w:t>“失信联合惩戒黑名单”</w:t>
      </w:r>
      <w:r>
        <w:rPr>
          <w:rFonts w:hint="eastAsia" w:ascii="仿宋_GB2312" w:eastAsia="仿宋_GB2312"/>
          <w:sz w:val="32"/>
          <w:szCs w:val="32"/>
        </w:rPr>
        <w:t>实施联合惩戒，并向社会公开；情节严重的，原则上5年内停止其申报商务领域专项资金资格。</w:t>
      </w:r>
      <w:r>
        <w:rPr>
          <w:rFonts w:hint="eastAsia" w:ascii="仿宋_GB2312" w:hAnsi="仿宋_GB2312" w:eastAsia="仿宋_GB2312" w:cs="仿宋_GB2312"/>
          <w:sz w:val="32"/>
          <w:szCs w:val="32"/>
        </w:rPr>
        <w:t>涉嫌犯罪的，依法移送司法机关处理。</w:t>
      </w:r>
    </w:p>
    <w:p>
      <w:pPr>
        <w:widowControl/>
        <w:shd w:val="clear" w:color="auto" w:fill="FFFFFF"/>
        <w:spacing w:line="460" w:lineRule="exact"/>
        <w:ind w:firstLine="658"/>
        <w:rPr>
          <w:lang w:bidi="ar"/>
        </w:rPr>
      </w:pPr>
      <w:r>
        <w:rPr>
          <w:rFonts w:hint="eastAsia" w:ascii="楷体_GB2312" w:eastAsia="楷体_GB2312"/>
          <w:sz w:val="28"/>
          <w:szCs w:val="28"/>
          <w:lang w:bidi="ar"/>
        </w:rPr>
        <w:t>【说明】根据《广州市市级财政专项资金管理办法》第十三条规定修改，对申报和用款单位违法违规行为细化明确并作了补充。</w:t>
      </w:r>
    </w:p>
    <w:p>
      <w:pPr>
        <w:pStyle w:val="3"/>
        <w:spacing w:before="0" w:after="0" w:line="960" w:lineRule="auto"/>
        <w:jc w:val="center"/>
        <w:rPr>
          <w:rFonts w:ascii="微软雅黑" w:hAnsi="微软雅黑" w:eastAsia="微软雅黑" w:cs="微软雅黑"/>
          <w:sz w:val="32"/>
          <w:szCs w:val="32"/>
        </w:rPr>
      </w:pPr>
      <w:r>
        <w:rPr>
          <w:rFonts w:hint="eastAsia" w:ascii="黑体" w:hAnsi="黑体" w:eastAsia="黑体"/>
          <w:b w:val="0"/>
          <w:sz w:val="32"/>
          <w:szCs w:val="32"/>
          <w:shd w:val="clear" w:color="auto" w:fill="FFFFFF"/>
          <w:lang w:bidi="ar"/>
        </w:rPr>
        <w:t>第六章</w:t>
      </w:r>
      <w:r>
        <w:rPr>
          <w:rFonts w:ascii="黑体" w:hAnsi="黑体" w:eastAsia="黑体"/>
          <w:b w:val="0"/>
          <w:sz w:val="32"/>
          <w:szCs w:val="32"/>
          <w:shd w:val="clear" w:color="auto" w:fill="FFFFFF"/>
          <w:lang w:bidi="ar"/>
        </w:rPr>
        <w:t xml:space="preserve"> </w:t>
      </w:r>
      <w:r>
        <w:rPr>
          <w:rFonts w:hint="eastAsia" w:ascii="黑体" w:hAnsi="黑体" w:eastAsia="黑体"/>
          <w:b w:val="0"/>
          <w:sz w:val="32"/>
          <w:szCs w:val="32"/>
          <w:shd w:val="clear" w:color="auto" w:fill="FFFFFF"/>
          <w:lang w:bidi="ar"/>
        </w:rPr>
        <w:t>附</w:t>
      </w:r>
      <w:r>
        <w:rPr>
          <w:rFonts w:ascii="黑体" w:hAnsi="黑体" w:eastAsia="黑体"/>
          <w:b w:val="0"/>
          <w:sz w:val="32"/>
          <w:szCs w:val="32"/>
          <w:shd w:val="clear" w:color="auto" w:fill="FFFFFF"/>
          <w:lang w:bidi="ar"/>
        </w:rPr>
        <w:t xml:space="preserve"> </w:t>
      </w:r>
      <w:r>
        <w:rPr>
          <w:rFonts w:hint="eastAsia" w:ascii="黑体" w:hAnsi="黑体" w:eastAsia="黑体"/>
          <w:b w:val="0"/>
          <w:sz w:val="32"/>
          <w:szCs w:val="32"/>
          <w:shd w:val="clear" w:color="auto" w:fill="FFFFFF"/>
          <w:lang w:bidi="ar"/>
        </w:rPr>
        <w:t>则</w:t>
      </w:r>
      <w:r>
        <w:rPr>
          <w:rFonts w:hint="eastAsia" w:ascii="微软雅黑" w:hAnsi="微软雅黑" w:eastAsia="微软雅黑" w:cs="微软雅黑"/>
          <w:kern w:val="0"/>
          <w:sz w:val="32"/>
          <w:szCs w:val="32"/>
          <w:shd w:val="clear" w:color="auto" w:fill="FFFFFF"/>
          <w:lang w:bidi="ar"/>
        </w:rPr>
        <w:t> </w:t>
      </w:r>
    </w:p>
    <w:p>
      <w:pPr>
        <w:widowControl/>
        <w:shd w:val="clear" w:color="auto" w:fill="FFFFFF"/>
        <w:spacing w:line="560" w:lineRule="exact"/>
        <w:ind w:firstLine="626"/>
        <w:rPr>
          <w:rFonts w:ascii="微软雅黑" w:hAnsi="微软雅黑" w:eastAsia="微软雅黑" w:cs="微软雅黑"/>
          <w:sz w:val="32"/>
          <w:szCs w:val="32"/>
        </w:rPr>
      </w:pPr>
      <w:r>
        <w:rPr>
          <w:rFonts w:hint="eastAsia" w:ascii="楷体_GB2312" w:hAnsi="仿宋_GB2312" w:eastAsia="楷体_GB2312" w:cs="仿宋_GB2312"/>
          <w:b/>
          <w:kern w:val="0"/>
          <w:sz w:val="32"/>
          <w:szCs w:val="32"/>
          <w:shd w:val="clear" w:color="auto" w:fill="FFFFFF"/>
          <w:lang w:bidi="ar"/>
        </w:rPr>
        <w:t>第二十七条</w:t>
      </w:r>
      <w:r>
        <w:rPr>
          <w:rFonts w:hint="eastAsia" w:ascii="仿宋_GB2312" w:hAnsi="仿宋_GB2312" w:eastAsia="仿宋_GB2312" w:cs="仿宋_GB2312"/>
          <w:kern w:val="0"/>
          <w:sz w:val="32"/>
          <w:szCs w:val="32"/>
          <w:shd w:val="clear" w:color="auto" w:fill="FFFFFF"/>
          <w:lang w:bidi="ar"/>
        </w:rPr>
        <w:t>  本办法由市商务局负责解释。</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kern w:val="0"/>
          <w:sz w:val="32"/>
          <w:szCs w:val="32"/>
          <w:shd w:val="clear" w:color="auto" w:fill="FFFFFF"/>
          <w:lang w:bidi="ar"/>
        </w:rPr>
        <w:t>第二十八条</w:t>
      </w:r>
      <w:r>
        <w:rPr>
          <w:rFonts w:hint="eastAsia" w:ascii="仿宋_GB2312" w:hAnsi="仿宋_GB2312" w:eastAsia="仿宋_GB2312" w:cs="仿宋_GB2312"/>
          <w:kern w:val="0"/>
          <w:sz w:val="32"/>
          <w:szCs w:val="32"/>
          <w:shd w:val="clear" w:color="auto" w:fill="FFFFFF"/>
          <w:lang w:bidi="ar"/>
        </w:rPr>
        <w:t>  本办法自2022年1月1日起实施，有效期5年。自本办法实施之日起，《广州市商务委员会关于印发广州市商务发展专项资金管理办法的通知》（穗商务规字〔</w:t>
      </w:r>
      <w:r>
        <w:rPr>
          <w:rFonts w:ascii="仿宋_GB2312" w:hAnsi="仿宋_GB2312"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w:t>
      </w:r>
      <w:r>
        <w:rPr>
          <w:rFonts w:ascii="仿宋_GB2312" w:hAnsi="仿宋_GB2312"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号）同时废止；以前印发的原办法实施细则仍在有效期内的、但与本办法有关规定不符的，以本办法为准。</w:t>
      </w:r>
    </w:p>
    <w:p>
      <w:pPr>
        <w:widowControl/>
        <w:shd w:val="clear" w:color="auto" w:fill="FFFFFF"/>
        <w:spacing w:line="460" w:lineRule="exact"/>
        <w:ind w:firstLine="658"/>
        <w:rPr>
          <w:rFonts w:ascii="楷体_GB2312" w:eastAsia="楷体_GB2312"/>
          <w:sz w:val="28"/>
          <w:szCs w:val="28"/>
          <w:lang w:bidi="ar"/>
        </w:rPr>
      </w:pPr>
      <w:r>
        <w:rPr>
          <w:rFonts w:hint="eastAsia" w:ascii="楷体_GB2312" w:eastAsia="楷体_GB2312"/>
          <w:sz w:val="28"/>
          <w:szCs w:val="28"/>
          <w:lang w:bidi="ar"/>
        </w:rPr>
        <w:t>【说明】《广州市商务委员会关于印发广州市商务发展专项资金管理办法的通知》（穗商务规字〔</w:t>
      </w:r>
      <w:r>
        <w:rPr>
          <w:rFonts w:ascii="楷体_GB2312" w:eastAsia="楷体_GB2312"/>
          <w:sz w:val="28"/>
          <w:szCs w:val="28"/>
          <w:lang w:bidi="ar"/>
        </w:rPr>
        <w:t>2018</w:t>
      </w:r>
      <w:r>
        <w:rPr>
          <w:rFonts w:hint="eastAsia" w:ascii="楷体_GB2312" w:eastAsia="楷体_GB2312"/>
          <w:sz w:val="28"/>
          <w:szCs w:val="28"/>
          <w:lang w:bidi="ar"/>
        </w:rPr>
        <w:t>〕</w:t>
      </w:r>
      <w:r>
        <w:rPr>
          <w:rFonts w:ascii="楷体_GB2312" w:eastAsia="楷体_GB2312"/>
          <w:sz w:val="28"/>
          <w:szCs w:val="28"/>
          <w:lang w:bidi="ar"/>
        </w:rPr>
        <w:t>4</w:t>
      </w:r>
      <w:r>
        <w:rPr>
          <w:rFonts w:hint="eastAsia" w:ascii="楷体_GB2312" w:eastAsia="楷体_GB2312"/>
          <w:sz w:val="28"/>
          <w:szCs w:val="28"/>
          <w:lang w:bidi="ar"/>
        </w:rPr>
        <w:t>号）规定“本办法自发布之日起实施，有效期至2021年12月31日”，为与原《办法》衔接，新办法明确“自2022年1月1日起实施，有效期5年”。</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80233"/>
      <w:docPartObj>
        <w:docPartGallery w:val="autotext"/>
      </w:docPartObj>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36"/>
    <w:rsid w:val="00064557"/>
    <w:rsid w:val="00064B8C"/>
    <w:rsid w:val="000F4C69"/>
    <w:rsid w:val="00154A56"/>
    <w:rsid w:val="00160E09"/>
    <w:rsid w:val="001672E9"/>
    <w:rsid w:val="001D79C2"/>
    <w:rsid w:val="001F11FA"/>
    <w:rsid w:val="001F38AA"/>
    <w:rsid w:val="0026408D"/>
    <w:rsid w:val="00291385"/>
    <w:rsid w:val="002E773F"/>
    <w:rsid w:val="003340D6"/>
    <w:rsid w:val="003A2840"/>
    <w:rsid w:val="003C5138"/>
    <w:rsid w:val="003D2469"/>
    <w:rsid w:val="00414948"/>
    <w:rsid w:val="00427C57"/>
    <w:rsid w:val="004357E5"/>
    <w:rsid w:val="004439C3"/>
    <w:rsid w:val="004F2F5B"/>
    <w:rsid w:val="00503A86"/>
    <w:rsid w:val="005040C4"/>
    <w:rsid w:val="00574ED7"/>
    <w:rsid w:val="0058223E"/>
    <w:rsid w:val="005D5F36"/>
    <w:rsid w:val="005E33C6"/>
    <w:rsid w:val="005F31D9"/>
    <w:rsid w:val="0062559D"/>
    <w:rsid w:val="006521D5"/>
    <w:rsid w:val="006B7F94"/>
    <w:rsid w:val="006E04B0"/>
    <w:rsid w:val="006E1F73"/>
    <w:rsid w:val="0070042C"/>
    <w:rsid w:val="00727336"/>
    <w:rsid w:val="0074633C"/>
    <w:rsid w:val="00760F52"/>
    <w:rsid w:val="00772F83"/>
    <w:rsid w:val="007F5F7B"/>
    <w:rsid w:val="008358BA"/>
    <w:rsid w:val="0089673C"/>
    <w:rsid w:val="008A182A"/>
    <w:rsid w:val="008C712B"/>
    <w:rsid w:val="008E73A0"/>
    <w:rsid w:val="00911F54"/>
    <w:rsid w:val="009476AB"/>
    <w:rsid w:val="00974948"/>
    <w:rsid w:val="00984393"/>
    <w:rsid w:val="0099269E"/>
    <w:rsid w:val="009C0A1A"/>
    <w:rsid w:val="009C2E7B"/>
    <w:rsid w:val="009E1533"/>
    <w:rsid w:val="00A62FEA"/>
    <w:rsid w:val="00AE426E"/>
    <w:rsid w:val="00B27733"/>
    <w:rsid w:val="00B53099"/>
    <w:rsid w:val="00B70D43"/>
    <w:rsid w:val="00BE5393"/>
    <w:rsid w:val="00C843A0"/>
    <w:rsid w:val="00C91B77"/>
    <w:rsid w:val="00C93691"/>
    <w:rsid w:val="00CA40CF"/>
    <w:rsid w:val="00CC4229"/>
    <w:rsid w:val="00CC589F"/>
    <w:rsid w:val="00D01391"/>
    <w:rsid w:val="00D02C50"/>
    <w:rsid w:val="00D173D0"/>
    <w:rsid w:val="00D346FA"/>
    <w:rsid w:val="00D355CD"/>
    <w:rsid w:val="00D62343"/>
    <w:rsid w:val="00D62C69"/>
    <w:rsid w:val="00D7711D"/>
    <w:rsid w:val="00DA24D4"/>
    <w:rsid w:val="00DA67A9"/>
    <w:rsid w:val="00DD1D19"/>
    <w:rsid w:val="00E06EC4"/>
    <w:rsid w:val="00E07264"/>
    <w:rsid w:val="00E6622A"/>
    <w:rsid w:val="00E80D4B"/>
    <w:rsid w:val="00E8166D"/>
    <w:rsid w:val="00E8381C"/>
    <w:rsid w:val="00E83915"/>
    <w:rsid w:val="00ED5B64"/>
    <w:rsid w:val="00F13580"/>
    <w:rsid w:val="00F56AFC"/>
    <w:rsid w:val="00F57BDE"/>
    <w:rsid w:val="00F57CA8"/>
    <w:rsid w:val="00F71AB9"/>
    <w:rsid w:val="00FA4E0D"/>
    <w:rsid w:val="07A46AE9"/>
    <w:rsid w:val="096A6D06"/>
    <w:rsid w:val="0BF66FA8"/>
    <w:rsid w:val="0C651352"/>
    <w:rsid w:val="0FBD782F"/>
    <w:rsid w:val="0FE82F92"/>
    <w:rsid w:val="127B568A"/>
    <w:rsid w:val="14F8390B"/>
    <w:rsid w:val="16D3240A"/>
    <w:rsid w:val="17EE295F"/>
    <w:rsid w:val="1A4C2D46"/>
    <w:rsid w:val="1B987A90"/>
    <w:rsid w:val="1ED51444"/>
    <w:rsid w:val="200D2BCB"/>
    <w:rsid w:val="211C4F92"/>
    <w:rsid w:val="28FB4A92"/>
    <w:rsid w:val="344024A9"/>
    <w:rsid w:val="34A23FCD"/>
    <w:rsid w:val="36463D6E"/>
    <w:rsid w:val="3F9A2CC7"/>
    <w:rsid w:val="428C7800"/>
    <w:rsid w:val="451D4915"/>
    <w:rsid w:val="4682656B"/>
    <w:rsid w:val="475850A2"/>
    <w:rsid w:val="48BB2DA5"/>
    <w:rsid w:val="4D647F4E"/>
    <w:rsid w:val="4EF434E7"/>
    <w:rsid w:val="4F990BF5"/>
    <w:rsid w:val="531B49B1"/>
    <w:rsid w:val="55B24189"/>
    <w:rsid w:val="59D070DE"/>
    <w:rsid w:val="5B887F6F"/>
    <w:rsid w:val="654E7054"/>
    <w:rsid w:val="656206DB"/>
    <w:rsid w:val="69DF1247"/>
    <w:rsid w:val="6EAD5F44"/>
    <w:rsid w:val="70C123CC"/>
    <w:rsid w:val="75EF6563"/>
    <w:rsid w:val="783E5355"/>
    <w:rsid w:val="7BD668AE"/>
    <w:rsid w:val="7C1604B2"/>
    <w:rsid w:val="7CBD455D"/>
    <w:rsid w:val="7E9A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4">
    <w:name w:val="Balloon Text"/>
    <w:basedOn w:val="1"/>
    <w:link w:val="13"/>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0">
    <w:name w:val="FollowedHyperlink"/>
    <w:basedOn w:val="9"/>
    <w:uiPriority w:val="0"/>
    <w:rPr>
      <w:color w:val="333333"/>
      <w:sz w:val="18"/>
      <w:szCs w:val="18"/>
      <w:u w:val="none"/>
    </w:rPr>
  </w:style>
  <w:style w:type="character" w:styleId="11">
    <w:name w:val="Emphasis"/>
    <w:basedOn w:val="9"/>
    <w:qFormat/>
    <w:uiPriority w:val="0"/>
    <w:rPr>
      <w:i/>
    </w:rPr>
  </w:style>
  <w:style w:type="character" w:styleId="12">
    <w:name w:val="Hyperlink"/>
    <w:basedOn w:val="9"/>
    <w:uiPriority w:val="0"/>
    <w:rPr>
      <w:color w:val="333333"/>
      <w:sz w:val="18"/>
      <w:szCs w:val="18"/>
      <w:u w:val="none"/>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 w:type="character" w:customStyle="1" w:styleId="14">
    <w:name w:val="标题 1 Char"/>
    <w:basedOn w:val="9"/>
    <w:link w:val="3"/>
    <w:uiPriority w:val="0"/>
    <w:rPr>
      <w:rFonts w:asciiTheme="minorHAnsi" w:hAnsiTheme="minorHAnsi" w:eastAsiaTheme="minorEastAsia" w:cstheme="minorBidi"/>
      <w:b/>
      <w:bCs/>
      <w:kern w:val="44"/>
      <w:sz w:val="44"/>
      <w:szCs w:val="44"/>
    </w:rPr>
  </w:style>
  <w:style w:type="character" w:customStyle="1" w:styleId="15">
    <w:name w:val="页眉 Char"/>
    <w:basedOn w:val="9"/>
    <w:link w:val="6"/>
    <w:qFormat/>
    <w:uiPriority w:val="99"/>
    <w:rPr>
      <w:rFonts w:asciiTheme="minorHAnsi" w:hAnsiTheme="minorHAnsi" w:eastAsiaTheme="minorEastAsia" w:cstheme="minorBidi"/>
      <w:kern w:val="2"/>
      <w:sz w:val="18"/>
      <w:szCs w:val="18"/>
    </w:rPr>
  </w:style>
  <w:style w:type="character" w:customStyle="1" w:styleId="16">
    <w:name w:val="页脚 Char"/>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1252</Words>
  <Characters>7142</Characters>
  <Lines>59</Lines>
  <Paragraphs>16</Paragraphs>
  <TotalTime>2</TotalTime>
  <ScaleCrop>false</ScaleCrop>
  <LinksUpToDate>false</LinksUpToDate>
  <CharactersWithSpaces>8378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2021-10-20T08:36:00Z</dcterms:created>
  <dc:creator>ligl</dc:creator>
  <cp:lastModifiedBy>黎国林</cp:lastModifiedBy>
  <cp:lastPrinted>2021-10-26T01:03:00Z</cp:lastPrinted>
  <dcterms:modified xsi:type="dcterms:W3CDTF">2021-10-26T03:06:47Z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