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/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499110</wp:posOffset>
            </wp:positionV>
            <wp:extent cx="4531995" cy="4531995"/>
            <wp:effectExtent l="0" t="0" r="0" b="0"/>
            <wp:wrapTopAndBottom/>
            <wp:docPr id="1" name="图片 1" descr="D:\工作\【促进司工作】\2021年全国消费促进月\全国消费促进月logo2021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\【促进司工作】\2021年全国消费促进月\全国消费促进月logo2021\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32"/>
          <w:szCs w:val="32"/>
        </w:rPr>
        <w:t>2021年全国消费促进月活动标识</w:t>
      </w:r>
    </w:p>
    <w:p>
      <w:pPr>
        <w:spacing w:line="720" w:lineRule="exact"/>
        <w:ind w:firstLine="640" w:firstLineChars="200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标识说明：标识主体图案由两个环状图形相互链接构成，蕴含活动畅通国内国际双循环，蓝色代表现代流通，绿色代表科学文明消费，流通和消费相互促进、创新发展。</w:t>
      </w:r>
    </w:p>
    <w:p>
      <w:pPr>
        <w:jc w:val="center"/>
        <w:rPr>
          <w:rFonts w:hint="eastAsia" w:ascii="微软雅黑" w:hAnsi="微软雅黑" w:eastAsia="微软雅黑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“</w:t>
      </w:r>
      <w:r>
        <w:rPr>
          <w:rFonts w:hint="eastAsia" w:ascii="微软雅黑" w:hAnsi="微软雅黑" w:eastAsia="微软雅黑"/>
          <w:sz w:val="32"/>
          <w:szCs w:val="32"/>
          <w:lang w:eastAsia="zh-CN"/>
        </w:rPr>
        <w:t>家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520”</w:t>
      </w:r>
      <w:r>
        <w:rPr>
          <w:rFonts w:hint="eastAsia" w:ascii="微软雅黑" w:hAnsi="微软雅黑" w:eastAsia="微软雅黑"/>
          <w:sz w:val="32"/>
          <w:szCs w:val="32"/>
        </w:rPr>
        <w:t>活动标识</w:t>
      </w:r>
    </w:p>
    <w:p>
      <w:pPr>
        <w:jc w:val="both"/>
        <w:rPr>
          <w:rFonts w:hint="eastAsia" w:ascii="微软雅黑" w:hAnsi="微软雅黑" w:eastAsia="微软雅黑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953385"/>
            <wp:effectExtent l="0" t="0" r="3175" b="18415"/>
            <wp:docPr id="2" name="图片 2" descr="家520活动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家520活动标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A2686"/>
    <w:rsid w:val="5B4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2021-04-13T11:12:23Z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